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282D" w14:textId="237D3031" w:rsidR="00D3222A" w:rsidRPr="00F84329" w:rsidRDefault="00D3222A" w:rsidP="00D3222A">
      <w:pPr>
        <w:pStyle w:val="Header"/>
        <w:tabs>
          <w:tab w:val="clear" w:pos="8640"/>
          <w:tab w:val="right" w:pos="8647"/>
        </w:tabs>
        <w:rPr>
          <w:rFonts w:cs="Tahoma"/>
          <w:iCs/>
          <w:sz w:val="24"/>
        </w:rPr>
      </w:pPr>
      <w:r w:rsidRPr="00F84329">
        <w:rPr>
          <w:rFonts w:cs="Tahoma"/>
          <w:iCs/>
          <w:color w:val="0000FF"/>
          <w:sz w:val="24"/>
        </w:rPr>
        <w:t xml:space="preserve">[Name of Dental </w:t>
      </w:r>
      <w:r w:rsidR="00380192">
        <w:rPr>
          <w:rFonts w:cs="Tahoma"/>
          <w:iCs/>
          <w:color w:val="0000FF"/>
          <w:sz w:val="24"/>
        </w:rPr>
        <w:t>Sedation Facility</w:t>
      </w:r>
      <w:r w:rsidRPr="00F84329">
        <w:rPr>
          <w:rFonts w:cs="Tahoma"/>
          <w:iCs/>
          <w:color w:val="0000FF"/>
          <w:sz w:val="24"/>
        </w:rPr>
        <w:t xml:space="preserve">]                                         </w:t>
      </w:r>
      <w:hyperlink r:id="rId10" w:history="1">
        <w:r w:rsidRPr="00F96EA6">
          <w:rPr>
            <w:rStyle w:val="Hyperlink"/>
            <w:rFonts w:cs="Tahoma"/>
            <w:iCs/>
            <w:sz w:val="24"/>
          </w:rPr>
          <w:t>About Templates</w:t>
        </w:r>
      </w:hyperlink>
      <w:r w:rsidRPr="00F84329">
        <w:rPr>
          <w:rFonts w:cs="Tahoma"/>
          <w:iCs/>
          <w:color w:val="0000FF"/>
          <w:sz w:val="24"/>
        </w:rPr>
        <w:t xml:space="preserve">                                                         </w:t>
      </w:r>
      <w:hyperlink r:id="rId11" w:history="1">
        <w:r w:rsidRPr="00F84329">
          <w:rPr>
            <w:rStyle w:val="Hyperlink"/>
            <w:rFonts w:cs="Tahoma"/>
            <w:iCs/>
            <w:sz w:val="24"/>
          </w:rPr>
          <w:t xml:space="preserve"> </w:t>
        </w:r>
      </w:hyperlink>
      <w:r w:rsidRPr="00F84329">
        <w:rPr>
          <w:rFonts w:cs="Tahoma"/>
          <w:iCs/>
          <w:sz w:val="24"/>
        </w:rPr>
        <w:t xml:space="preserve"> </w:t>
      </w:r>
    </w:p>
    <w:p w14:paraId="24140D9B" w14:textId="77777777" w:rsidR="00D3222A" w:rsidRPr="00F84329" w:rsidRDefault="00D3222A" w:rsidP="00D3222A">
      <w:pPr>
        <w:pStyle w:val="Header"/>
        <w:tabs>
          <w:tab w:val="clear" w:pos="8640"/>
          <w:tab w:val="right" w:pos="8647"/>
        </w:tabs>
        <w:rPr>
          <w:iCs/>
          <w:color w:val="0000FF"/>
          <w:sz w:val="24"/>
        </w:rPr>
      </w:pPr>
      <w:r w:rsidRPr="00F84329">
        <w:rPr>
          <w:rFonts w:cs="Tahoma"/>
          <w:iCs/>
          <w:color w:val="0000FF"/>
          <w:sz w:val="24"/>
        </w:rPr>
        <w:t>[Date]</w:t>
      </w:r>
    </w:p>
    <w:p w14:paraId="2A69B37B" w14:textId="5A5B6D6C" w:rsidR="00EB0362" w:rsidRPr="00F92566" w:rsidRDefault="00E277FE" w:rsidP="004C0EF1">
      <w:pPr>
        <w:pStyle w:val="Heading1"/>
        <w:shd w:val="clear" w:color="auto" w:fill="auto"/>
        <w:spacing w:before="360"/>
        <w:rPr>
          <w:sz w:val="32"/>
        </w:rPr>
      </w:pPr>
      <w:r>
        <w:rPr>
          <w:sz w:val="32"/>
        </w:rPr>
        <w:t>Nitrous Oxide Stock Record</w:t>
      </w:r>
    </w:p>
    <w:p w14:paraId="20B02F98" w14:textId="5AC3E1BD" w:rsidR="00042B02" w:rsidRPr="00B54E96" w:rsidRDefault="001353F9" w:rsidP="00AC2EB8">
      <w:pPr>
        <w:spacing w:line="360" w:lineRule="auto"/>
        <w:rPr>
          <w:rFonts w:cs="Tahoma"/>
          <w:color w:val="0000FF"/>
          <w:sz w:val="24"/>
          <w:lang w:val="en"/>
        </w:rPr>
      </w:pPr>
      <w:r w:rsidRPr="0010599B">
        <w:rPr>
          <w:rFonts w:cs="Tahoma"/>
          <w:color w:val="0000FF"/>
          <w:sz w:val="24"/>
          <w:lang w:val="en"/>
        </w:rPr>
        <w:t>[</w:t>
      </w:r>
      <w:r w:rsidR="00B06CAB" w:rsidRPr="0010599B">
        <w:rPr>
          <w:rFonts w:cs="Tahoma"/>
          <w:color w:val="0000FF"/>
          <w:sz w:val="24"/>
          <w:lang w:val="en"/>
        </w:rPr>
        <w:t xml:space="preserve">This template is intended for </w:t>
      </w:r>
      <w:r w:rsidR="00B07401" w:rsidRPr="0010599B">
        <w:rPr>
          <w:rFonts w:cs="Tahoma"/>
          <w:color w:val="0000FF"/>
          <w:sz w:val="24"/>
          <w:lang w:val="en"/>
        </w:rPr>
        <w:t xml:space="preserve">dental </w:t>
      </w:r>
      <w:r w:rsidR="007177AA" w:rsidRPr="0010599B">
        <w:rPr>
          <w:rFonts w:cs="Tahoma"/>
          <w:color w:val="0000FF"/>
          <w:sz w:val="24"/>
          <w:lang w:val="en"/>
        </w:rPr>
        <w:t xml:space="preserve">sedation </w:t>
      </w:r>
      <w:r w:rsidR="00B07401" w:rsidRPr="0010599B">
        <w:rPr>
          <w:rFonts w:cs="Tahoma"/>
          <w:color w:val="0000FF"/>
          <w:sz w:val="24"/>
          <w:lang w:val="en"/>
        </w:rPr>
        <w:t xml:space="preserve">facilities </w:t>
      </w:r>
      <w:r w:rsidR="00500F27" w:rsidRPr="0010599B">
        <w:rPr>
          <w:rFonts w:cs="Tahoma"/>
          <w:color w:val="0000FF"/>
          <w:sz w:val="24"/>
          <w:lang w:val="en"/>
        </w:rPr>
        <w:t xml:space="preserve">that </w:t>
      </w:r>
      <w:r w:rsidR="00BD0D2B" w:rsidRPr="0010599B">
        <w:rPr>
          <w:rFonts w:cs="Tahoma"/>
          <w:color w:val="0000FF"/>
          <w:sz w:val="24"/>
          <w:lang w:val="en"/>
        </w:rPr>
        <w:t>us</w:t>
      </w:r>
      <w:r w:rsidR="00500F27" w:rsidRPr="0010599B">
        <w:rPr>
          <w:rFonts w:cs="Tahoma"/>
          <w:color w:val="0000FF"/>
          <w:sz w:val="24"/>
          <w:lang w:val="en"/>
        </w:rPr>
        <w:t>e</w:t>
      </w:r>
      <w:r w:rsidR="00BD0D2B" w:rsidRPr="0010599B">
        <w:rPr>
          <w:rFonts w:cs="Tahoma"/>
          <w:color w:val="0000FF"/>
          <w:sz w:val="24"/>
          <w:lang w:val="en"/>
        </w:rPr>
        <w:t xml:space="preserve"> nitrous oxide cylinders</w:t>
      </w:r>
      <w:r w:rsidR="00837D31" w:rsidRPr="0010599B">
        <w:rPr>
          <w:rFonts w:cs="Tahoma"/>
          <w:color w:val="0000FF"/>
          <w:sz w:val="24"/>
          <w:lang w:val="en"/>
        </w:rPr>
        <w:t xml:space="preserve"> directly</w:t>
      </w:r>
      <w:r w:rsidR="00500F27" w:rsidRPr="0010599B">
        <w:rPr>
          <w:rFonts w:cs="Tahoma"/>
          <w:color w:val="0000FF"/>
          <w:sz w:val="24"/>
          <w:lang w:val="en"/>
        </w:rPr>
        <w:t xml:space="preserve"> or </w:t>
      </w:r>
      <w:r w:rsidR="00BD0D2B" w:rsidRPr="0010599B">
        <w:rPr>
          <w:rFonts w:cs="Tahoma"/>
          <w:color w:val="0000FF"/>
          <w:sz w:val="24"/>
          <w:lang w:val="en"/>
        </w:rPr>
        <w:t>are sole users of a manifold supply</w:t>
      </w:r>
      <w:r w:rsidR="00645AEE" w:rsidRPr="0010599B">
        <w:rPr>
          <w:rFonts w:cs="Tahoma"/>
          <w:color w:val="0000FF"/>
          <w:sz w:val="24"/>
          <w:lang w:val="en"/>
        </w:rPr>
        <w:t>.</w:t>
      </w:r>
      <w:r w:rsidR="00645AEE" w:rsidRPr="00B945E4">
        <w:rPr>
          <w:rFonts w:cs="Tahoma"/>
          <w:color w:val="0000FF"/>
          <w:sz w:val="24"/>
          <w:lang w:val="en"/>
        </w:rPr>
        <w:t xml:space="preserve"> </w:t>
      </w:r>
      <w:r w:rsidR="00A323E1" w:rsidRPr="00B945E4">
        <w:rPr>
          <w:rFonts w:cs="Tahoma"/>
          <w:color w:val="0000FF"/>
          <w:sz w:val="24"/>
          <w:lang w:val="en"/>
        </w:rPr>
        <w:t xml:space="preserve">The </w:t>
      </w:r>
      <w:r w:rsidR="007F27B3" w:rsidRPr="00B945E4">
        <w:rPr>
          <w:rFonts w:cs="Tahoma"/>
          <w:color w:val="0000FF"/>
          <w:sz w:val="24"/>
          <w:lang w:val="en"/>
        </w:rPr>
        <w:t xml:space="preserve">template aims to promote </w:t>
      </w:r>
      <w:r w:rsidR="00061B39" w:rsidRPr="00B945E4">
        <w:rPr>
          <w:rFonts w:cs="Tahoma"/>
          <w:color w:val="0000FF"/>
          <w:sz w:val="24"/>
          <w:lang w:val="en"/>
        </w:rPr>
        <w:t>effective stock control</w:t>
      </w:r>
      <w:r w:rsidR="00FC6D0D" w:rsidRPr="00B945E4">
        <w:rPr>
          <w:rFonts w:cs="Tahoma"/>
          <w:color w:val="0000FF"/>
          <w:sz w:val="24"/>
          <w:lang w:val="en"/>
        </w:rPr>
        <w:t>,</w:t>
      </w:r>
      <w:r w:rsidR="00C402E9" w:rsidRPr="00B945E4">
        <w:rPr>
          <w:rFonts w:cs="Tahoma"/>
          <w:color w:val="0000FF"/>
          <w:sz w:val="24"/>
          <w:lang w:val="en"/>
        </w:rPr>
        <w:t xml:space="preserve"> monitoring of </w:t>
      </w:r>
      <w:r w:rsidR="0069436C" w:rsidRPr="00B945E4">
        <w:rPr>
          <w:rFonts w:cs="Tahoma"/>
          <w:color w:val="0000FF"/>
          <w:sz w:val="24"/>
          <w:lang w:val="en"/>
        </w:rPr>
        <w:t>supply and</w:t>
      </w:r>
      <w:r w:rsidR="001019DB" w:rsidRPr="00B945E4">
        <w:rPr>
          <w:rFonts w:cs="Tahoma"/>
          <w:color w:val="0000FF"/>
          <w:sz w:val="24"/>
          <w:lang w:val="en"/>
        </w:rPr>
        <w:t xml:space="preserve"> identification of </w:t>
      </w:r>
      <w:r w:rsidR="00AE0DA9" w:rsidRPr="00B945E4">
        <w:rPr>
          <w:rFonts w:cs="Tahoma"/>
          <w:color w:val="0000FF"/>
          <w:sz w:val="24"/>
          <w:lang w:val="en"/>
        </w:rPr>
        <w:t xml:space="preserve">waste through </w:t>
      </w:r>
      <w:r w:rsidR="00932AD4" w:rsidRPr="00B945E4">
        <w:rPr>
          <w:rFonts w:cs="Tahoma"/>
          <w:color w:val="0000FF"/>
          <w:sz w:val="24"/>
          <w:lang w:val="en"/>
        </w:rPr>
        <w:t>oversupply or expiry of cylinders</w:t>
      </w:r>
      <w:r w:rsidR="00C2598C" w:rsidRPr="00B945E4">
        <w:rPr>
          <w:rFonts w:cs="Tahoma"/>
          <w:color w:val="0000FF"/>
          <w:sz w:val="24"/>
          <w:lang w:val="en"/>
        </w:rPr>
        <w:t>.</w:t>
      </w:r>
      <w:r w:rsidRPr="00B54E96">
        <w:rPr>
          <w:rFonts w:cs="Tahoma"/>
          <w:color w:val="0000FF"/>
          <w:sz w:val="24"/>
          <w:lang w:val="en"/>
        </w:rPr>
        <w:t>]</w:t>
      </w:r>
    </w:p>
    <w:p w14:paraId="2A69B37C" w14:textId="1090DE63" w:rsidR="00EB0362" w:rsidRPr="00F92566" w:rsidRDefault="00EC0C01">
      <w:pPr>
        <w:pStyle w:val="Heading3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Stock control system</w:t>
      </w:r>
      <w:r w:rsidR="00EB0362" w:rsidRPr="00F92566">
        <w:rPr>
          <w:i w:val="0"/>
          <w:iCs/>
          <w:sz w:val="24"/>
          <w:szCs w:val="24"/>
        </w:rPr>
        <w:t>:</w:t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</w:p>
    <w:p w14:paraId="0A31FF6B" w14:textId="6F5BEE9D" w:rsidR="007347F8" w:rsidRDefault="007537B8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 w:rsidRPr="007347F8">
        <w:rPr>
          <w:sz w:val="24"/>
        </w:rPr>
        <w:t>On receipt of cylinders, r</w:t>
      </w:r>
      <w:r w:rsidR="00B5052E" w:rsidRPr="007347F8">
        <w:rPr>
          <w:sz w:val="24"/>
        </w:rPr>
        <w:t xml:space="preserve">ecord </w:t>
      </w:r>
      <w:r w:rsidRPr="007347F8">
        <w:rPr>
          <w:sz w:val="24"/>
        </w:rPr>
        <w:t>the date, size</w:t>
      </w:r>
      <w:r w:rsidR="009452E2" w:rsidRPr="007347F8">
        <w:rPr>
          <w:sz w:val="24"/>
        </w:rPr>
        <w:t xml:space="preserve">, serial </w:t>
      </w:r>
      <w:proofErr w:type="gramStart"/>
      <w:r w:rsidR="009452E2" w:rsidRPr="007347F8">
        <w:rPr>
          <w:sz w:val="24"/>
        </w:rPr>
        <w:t>number</w:t>
      </w:r>
      <w:proofErr w:type="gramEnd"/>
      <w:r w:rsidR="00042C79" w:rsidRPr="007347F8">
        <w:rPr>
          <w:sz w:val="24"/>
        </w:rPr>
        <w:t xml:space="preserve"> and expiry date</w:t>
      </w:r>
      <w:r w:rsidR="00F65569" w:rsidRPr="007347F8">
        <w:rPr>
          <w:sz w:val="24"/>
        </w:rPr>
        <w:t>.</w:t>
      </w:r>
    </w:p>
    <w:p w14:paraId="270F31A4" w14:textId="2044CB25" w:rsidR="0013176F" w:rsidRPr="007347F8" w:rsidRDefault="00575A6C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 w:rsidRPr="007347F8">
        <w:rPr>
          <w:sz w:val="24"/>
        </w:rPr>
        <w:t>When storing cylinders</w:t>
      </w:r>
      <w:r w:rsidR="001401A0" w:rsidRPr="007347F8">
        <w:rPr>
          <w:sz w:val="24"/>
        </w:rPr>
        <w:t xml:space="preserve">, ensure that those with the shortest </w:t>
      </w:r>
      <w:r w:rsidR="00C34A4D" w:rsidRPr="007347F8">
        <w:rPr>
          <w:sz w:val="24"/>
        </w:rPr>
        <w:t xml:space="preserve">remaining shelf-life are </w:t>
      </w:r>
      <w:r w:rsidR="00056B48" w:rsidRPr="007347F8">
        <w:rPr>
          <w:sz w:val="24"/>
        </w:rPr>
        <w:t>the most prominent for easy access.</w:t>
      </w:r>
    </w:p>
    <w:p w14:paraId="5FC5772E" w14:textId="139EE4D9" w:rsidR="000B0719" w:rsidRDefault="00B04AB6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 w:rsidRPr="000B0719">
        <w:rPr>
          <w:sz w:val="24"/>
        </w:rPr>
        <w:t>When</w:t>
      </w:r>
      <w:r w:rsidR="003913D9" w:rsidRPr="000B0719">
        <w:rPr>
          <w:sz w:val="24"/>
        </w:rPr>
        <w:t xml:space="preserve"> taking cylinder</w:t>
      </w:r>
      <w:r w:rsidR="00602C1F" w:rsidRPr="000B0719">
        <w:rPr>
          <w:sz w:val="24"/>
        </w:rPr>
        <w:t>s</w:t>
      </w:r>
      <w:r w:rsidR="003913D9" w:rsidRPr="000B0719">
        <w:rPr>
          <w:sz w:val="24"/>
        </w:rPr>
        <w:t xml:space="preserve"> for use, </w:t>
      </w:r>
      <w:r w:rsidR="00066669" w:rsidRPr="000B0719">
        <w:rPr>
          <w:sz w:val="24"/>
        </w:rPr>
        <w:t xml:space="preserve">check stock record and </w:t>
      </w:r>
      <w:r w:rsidR="00602C1F" w:rsidRPr="000B0719">
        <w:rPr>
          <w:sz w:val="24"/>
        </w:rPr>
        <w:t xml:space="preserve">select those with </w:t>
      </w:r>
      <w:r w:rsidR="007347F8">
        <w:rPr>
          <w:sz w:val="24"/>
        </w:rPr>
        <w:t>t</w:t>
      </w:r>
      <w:r w:rsidR="00602C1F" w:rsidRPr="000B0719">
        <w:rPr>
          <w:sz w:val="24"/>
        </w:rPr>
        <w:t xml:space="preserve">he shortest remaining </w:t>
      </w:r>
      <w:r w:rsidR="00362905" w:rsidRPr="000B0719">
        <w:rPr>
          <w:sz w:val="24"/>
        </w:rPr>
        <w:t>shelf-life first.</w:t>
      </w:r>
    </w:p>
    <w:p w14:paraId="5AA5C36D" w14:textId="2DB69CB7" w:rsidR="003B4DB4" w:rsidRPr="000B0719" w:rsidRDefault="003B4DB4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 w:rsidRPr="000B0719">
        <w:rPr>
          <w:sz w:val="24"/>
        </w:rPr>
        <w:t>Use a label to</w:t>
      </w:r>
      <w:r w:rsidR="00CA77F7" w:rsidRPr="000B0719">
        <w:rPr>
          <w:sz w:val="24"/>
        </w:rPr>
        <w:t xml:space="preserve"> indicate the status of each cylinder</w:t>
      </w:r>
      <w:r w:rsidR="00430B29" w:rsidRPr="000B0719">
        <w:rPr>
          <w:sz w:val="24"/>
        </w:rPr>
        <w:t xml:space="preserve"> (full/in use/empty) to avoid</w:t>
      </w:r>
      <w:r w:rsidR="008675D6" w:rsidRPr="000B0719">
        <w:rPr>
          <w:sz w:val="24"/>
        </w:rPr>
        <w:t xml:space="preserve"> </w:t>
      </w:r>
      <w:r w:rsidR="0047227E" w:rsidRPr="000B0719">
        <w:rPr>
          <w:sz w:val="24"/>
        </w:rPr>
        <w:t>mixing</w:t>
      </w:r>
      <w:r w:rsidR="00A16D11" w:rsidRPr="000B0719">
        <w:rPr>
          <w:sz w:val="24"/>
        </w:rPr>
        <w:t xml:space="preserve"> up</w:t>
      </w:r>
      <w:r w:rsidR="00631141">
        <w:rPr>
          <w:sz w:val="24"/>
        </w:rPr>
        <w:t xml:space="preserve"> used and unused</w:t>
      </w:r>
      <w:r w:rsidR="004727F0">
        <w:rPr>
          <w:sz w:val="24"/>
        </w:rPr>
        <w:t xml:space="preserve"> cylinders</w:t>
      </w:r>
      <w:r w:rsidR="00563B3A" w:rsidRPr="000B0719">
        <w:rPr>
          <w:sz w:val="24"/>
        </w:rPr>
        <w:t xml:space="preserve"> </w:t>
      </w:r>
      <w:r w:rsidR="00D8113D">
        <w:rPr>
          <w:sz w:val="24"/>
        </w:rPr>
        <w:t>(</w:t>
      </w:r>
      <w:r w:rsidR="000B0719" w:rsidRPr="00D8113D">
        <w:rPr>
          <w:sz w:val="24"/>
        </w:rPr>
        <w:t xml:space="preserve">see </w:t>
      </w:r>
      <w:hyperlink r:id="rId12" w:history="1">
        <w:r w:rsidR="000B0719" w:rsidRPr="008E46BE">
          <w:rPr>
            <w:rStyle w:val="Hyperlink"/>
            <w:sz w:val="24"/>
          </w:rPr>
          <w:t xml:space="preserve">SHTM-02-01 </w:t>
        </w:r>
        <w:r w:rsidR="0025529C" w:rsidRPr="008E46BE">
          <w:rPr>
            <w:rStyle w:val="Hyperlink"/>
            <w:sz w:val="24"/>
          </w:rPr>
          <w:t>Part B</w:t>
        </w:r>
      </w:hyperlink>
      <w:r w:rsidR="0025529C">
        <w:rPr>
          <w:sz w:val="24"/>
        </w:rPr>
        <w:t xml:space="preserve"> </w:t>
      </w:r>
      <w:r w:rsidR="000B0719" w:rsidRPr="00D8113D">
        <w:rPr>
          <w:sz w:val="24"/>
        </w:rPr>
        <w:t>Figure 4 for an example</w:t>
      </w:r>
      <w:r w:rsidR="00D8113D">
        <w:rPr>
          <w:sz w:val="24"/>
        </w:rPr>
        <w:t>).</w:t>
      </w:r>
    </w:p>
    <w:p w14:paraId="3876B4EC" w14:textId="6FC01996" w:rsidR="0049686B" w:rsidRDefault="00EF181F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Record </w:t>
      </w:r>
      <w:r w:rsidR="0009766E">
        <w:rPr>
          <w:sz w:val="24"/>
        </w:rPr>
        <w:t xml:space="preserve">when each cylinder was returned </w:t>
      </w:r>
      <w:r w:rsidR="000D286F">
        <w:rPr>
          <w:sz w:val="24"/>
        </w:rPr>
        <w:t xml:space="preserve">to the supplier </w:t>
      </w:r>
      <w:r w:rsidR="0009766E">
        <w:rPr>
          <w:sz w:val="24"/>
        </w:rPr>
        <w:t>and whether it was used or unused</w:t>
      </w:r>
      <w:r w:rsidR="0049686B">
        <w:rPr>
          <w:sz w:val="24"/>
        </w:rPr>
        <w:t>.</w:t>
      </w:r>
    </w:p>
    <w:p w14:paraId="55BF75B7" w14:textId="76AD2FA1" w:rsidR="00B42EBC" w:rsidRDefault="00D33795" w:rsidP="00C11247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 w:rsidRPr="007347F8">
        <w:rPr>
          <w:sz w:val="24"/>
        </w:rPr>
        <w:t>Regularly</w:t>
      </w:r>
      <w:r w:rsidR="00254643" w:rsidRPr="007347F8">
        <w:rPr>
          <w:sz w:val="24"/>
        </w:rPr>
        <w:t xml:space="preserve"> </w:t>
      </w:r>
      <w:r w:rsidR="001C4F14" w:rsidRPr="007347F8">
        <w:rPr>
          <w:sz w:val="24"/>
        </w:rPr>
        <w:t>(</w:t>
      </w:r>
      <w:proofErr w:type="gramStart"/>
      <w:r w:rsidR="001C4F14" w:rsidRPr="007347F8">
        <w:rPr>
          <w:sz w:val="24"/>
        </w:rPr>
        <w:t>e.g.</w:t>
      </w:r>
      <w:proofErr w:type="gramEnd"/>
      <w:r w:rsidR="001C4F14" w:rsidRPr="007347F8">
        <w:rPr>
          <w:sz w:val="24"/>
        </w:rPr>
        <w:t xml:space="preserve"> annually)</w:t>
      </w:r>
      <w:r w:rsidR="001C4F14">
        <w:rPr>
          <w:sz w:val="24"/>
        </w:rPr>
        <w:t xml:space="preserve"> </w:t>
      </w:r>
      <w:r w:rsidR="00F85454" w:rsidRPr="007347F8">
        <w:rPr>
          <w:sz w:val="24"/>
        </w:rPr>
        <w:t>review</w:t>
      </w:r>
      <w:r w:rsidR="00A655FE" w:rsidRPr="007347F8">
        <w:rPr>
          <w:sz w:val="24"/>
        </w:rPr>
        <w:t xml:space="preserve"> </w:t>
      </w:r>
      <w:r w:rsidR="00290AEE">
        <w:rPr>
          <w:sz w:val="24"/>
        </w:rPr>
        <w:t>supply</w:t>
      </w:r>
      <w:r w:rsidR="00290AEE" w:rsidRPr="007347F8">
        <w:rPr>
          <w:sz w:val="24"/>
        </w:rPr>
        <w:t xml:space="preserve"> </w:t>
      </w:r>
      <w:r w:rsidR="00A655FE" w:rsidRPr="007347F8">
        <w:rPr>
          <w:sz w:val="24"/>
        </w:rPr>
        <w:t>of cylinders and number returned unused</w:t>
      </w:r>
      <w:r w:rsidR="0013176F" w:rsidRPr="007347F8">
        <w:rPr>
          <w:sz w:val="24"/>
        </w:rPr>
        <w:t>.</w:t>
      </w:r>
      <w:r>
        <w:rPr>
          <w:iCs/>
          <w:sz w:val="24"/>
        </w:rPr>
        <w:t xml:space="preserve"> </w:t>
      </w:r>
      <w:r w:rsidR="00403CBB">
        <w:rPr>
          <w:iCs/>
          <w:sz w:val="24"/>
        </w:rPr>
        <w:t xml:space="preserve">See </w:t>
      </w:r>
      <w:r w:rsidR="001B373A">
        <w:rPr>
          <w:iCs/>
          <w:sz w:val="24"/>
        </w:rPr>
        <w:t>‘</w:t>
      </w:r>
      <w:r w:rsidR="00403CBB">
        <w:rPr>
          <w:iCs/>
          <w:sz w:val="24"/>
        </w:rPr>
        <w:t xml:space="preserve">Review of </w:t>
      </w:r>
      <w:r w:rsidR="00057FBA">
        <w:rPr>
          <w:iCs/>
          <w:sz w:val="24"/>
        </w:rPr>
        <w:t>n</w:t>
      </w:r>
      <w:r w:rsidR="00403CBB">
        <w:rPr>
          <w:iCs/>
          <w:sz w:val="24"/>
        </w:rPr>
        <w:t xml:space="preserve">itrous </w:t>
      </w:r>
      <w:r w:rsidR="00057FBA">
        <w:rPr>
          <w:iCs/>
          <w:sz w:val="24"/>
        </w:rPr>
        <w:t>o</w:t>
      </w:r>
      <w:r w:rsidR="00403CBB">
        <w:rPr>
          <w:iCs/>
          <w:sz w:val="24"/>
        </w:rPr>
        <w:t xml:space="preserve">xide </w:t>
      </w:r>
      <w:r w:rsidR="00CF4C43">
        <w:rPr>
          <w:iCs/>
          <w:sz w:val="24"/>
        </w:rPr>
        <w:t xml:space="preserve">supply’ </w:t>
      </w:r>
      <w:r w:rsidR="00403CBB">
        <w:rPr>
          <w:iCs/>
          <w:sz w:val="24"/>
        </w:rPr>
        <w:t>section below table.</w:t>
      </w:r>
      <w:r w:rsidR="001B2349" w:rsidRPr="00F92566">
        <w:rPr>
          <w:iCs/>
          <w:sz w:val="24"/>
        </w:rPr>
        <w:tab/>
      </w:r>
    </w:p>
    <w:p w14:paraId="5CCF5525" w14:textId="77777777" w:rsidR="00D528AF" w:rsidRPr="00466209" w:rsidRDefault="00D528AF">
      <w:pPr>
        <w:pStyle w:val="Paragraph"/>
        <w:rPr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985"/>
        <w:gridCol w:w="1701"/>
        <w:gridCol w:w="1559"/>
        <w:gridCol w:w="1559"/>
      </w:tblGrid>
      <w:tr w:rsidR="00E92C4E" w14:paraId="2A69B388" w14:textId="3B956398" w:rsidTr="00D53ACA">
        <w:trPr>
          <w:cantSplit/>
          <w:trHeight w:val="772"/>
          <w:tblHeader/>
        </w:trPr>
        <w:tc>
          <w:tcPr>
            <w:tcW w:w="1418" w:type="dxa"/>
            <w:shd w:val="clear" w:color="auto" w:fill="990033"/>
          </w:tcPr>
          <w:p w14:paraId="2A69B384" w14:textId="0772A5B1" w:rsidR="00E92C4E" w:rsidRPr="00F92566" w:rsidRDefault="00E92C4E" w:rsidP="009162AC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received</w:t>
            </w:r>
          </w:p>
        </w:tc>
        <w:tc>
          <w:tcPr>
            <w:tcW w:w="850" w:type="dxa"/>
            <w:shd w:val="clear" w:color="auto" w:fill="990033"/>
          </w:tcPr>
          <w:p w14:paraId="2A69B385" w14:textId="0630F445" w:rsidR="00E92C4E" w:rsidRPr="00F92566" w:rsidRDefault="00E92C4E" w:rsidP="004C7B6A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Size</w:t>
            </w:r>
          </w:p>
        </w:tc>
        <w:tc>
          <w:tcPr>
            <w:tcW w:w="1985" w:type="dxa"/>
            <w:shd w:val="clear" w:color="auto" w:fill="990033"/>
          </w:tcPr>
          <w:p w14:paraId="2A69B386" w14:textId="4700131F" w:rsidR="00E92C4E" w:rsidRPr="00F92566" w:rsidRDefault="00E92C4E" w:rsidP="00F92566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Serial number</w:t>
            </w:r>
          </w:p>
        </w:tc>
        <w:tc>
          <w:tcPr>
            <w:tcW w:w="1701" w:type="dxa"/>
            <w:shd w:val="clear" w:color="auto" w:fill="990033"/>
          </w:tcPr>
          <w:p w14:paraId="6EF49AAC" w14:textId="22FDD0D6" w:rsidR="00E92C4E" w:rsidRPr="00F92566" w:rsidRDefault="00E92C4E" w:rsidP="00F92566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Expiry date</w:t>
            </w:r>
          </w:p>
        </w:tc>
        <w:tc>
          <w:tcPr>
            <w:tcW w:w="1559" w:type="dxa"/>
            <w:shd w:val="clear" w:color="auto" w:fill="990033"/>
          </w:tcPr>
          <w:p w14:paraId="5FB49531" w14:textId="43DF7F06" w:rsidR="00E92C4E" w:rsidRPr="00F92566" w:rsidRDefault="00E92C4E" w:rsidP="00F92566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returned</w:t>
            </w:r>
          </w:p>
        </w:tc>
        <w:tc>
          <w:tcPr>
            <w:tcW w:w="1559" w:type="dxa"/>
            <w:shd w:val="clear" w:color="auto" w:fill="990033"/>
          </w:tcPr>
          <w:p w14:paraId="6D1A8B05" w14:textId="4D2F88A0" w:rsidR="00E92C4E" w:rsidRDefault="00E92C4E" w:rsidP="00F92566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Used/</w:t>
            </w:r>
            <w:r>
              <w:rPr>
                <w:b/>
                <w:bCs/>
                <w:sz w:val="24"/>
              </w:rPr>
              <w:br/>
              <w:t>unused</w:t>
            </w:r>
          </w:p>
        </w:tc>
      </w:tr>
      <w:tr w:rsidR="00E92C4E" w14:paraId="2A69B394" w14:textId="08FC689E" w:rsidTr="00D53ACA">
        <w:trPr>
          <w:cantSplit/>
          <w:trHeight w:val="377"/>
        </w:trPr>
        <w:tc>
          <w:tcPr>
            <w:tcW w:w="1418" w:type="dxa"/>
          </w:tcPr>
          <w:p w14:paraId="2A69B38F" w14:textId="77777777" w:rsidR="00E92C4E" w:rsidRPr="00C443E7" w:rsidRDefault="00E92C4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69B390" w14:textId="77777777" w:rsidR="00E92C4E" w:rsidRPr="00C443E7" w:rsidRDefault="00E92C4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69B392" w14:textId="1AD4BCE1" w:rsidR="00E92C4E" w:rsidRPr="00C443E7" w:rsidRDefault="00E92C4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6E9857" w14:textId="77777777" w:rsidR="00E92C4E" w:rsidRPr="00C443E7" w:rsidRDefault="00E92C4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4BCEC7" w14:textId="6E5EBB08" w:rsidR="00E92C4E" w:rsidRPr="00C443E7" w:rsidRDefault="00E92C4E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619E3" w14:textId="77777777" w:rsidR="002C721D" w:rsidRPr="002C721D" w:rsidRDefault="002C721D" w:rsidP="002C721D"/>
        </w:tc>
      </w:tr>
      <w:tr w:rsidR="00E92C4E" w14:paraId="2A69B39A" w14:textId="727C5F6B" w:rsidTr="00D53ACA">
        <w:trPr>
          <w:cantSplit/>
          <w:trHeight w:val="300"/>
        </w:trPr>
        <w:tc>
          <w:tcPr>
            <w:tcW w:w="1418" w:type="dxa"/>
          </w:tcPr>
          <w:p w14:paraId="2A69B395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2A69B396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2A69B398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4DA8E1BB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1129F84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28658BC7" w14:textId="77777777" w:rsidR="002C721D" w:rsidRPr="002C721D" w:rsidRDefault="002C721D" w:rsidP="002C721D"/>
        </w:tc>
      </w:tr>
      <w:tr w:rsidR="00E92C4E" w14:paraId="0FD38231" w14:textId="2E55F90D" w:rsidTr="00D53ACA">
        <w:trPr>
          <w:cantSplit/>
          <w:trHeight w:val="300"/>
        </w:trPr>
        <w:tc>
          <w:tcPr>
            <w:tcW w:w="1418" w:type="dxa"/>
          </w:tcPr>
          <w:p w14:paraId="4D09188F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70FFF3A6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26330F02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729F632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1FFB5F94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34041F0" w14:textId="77777777" w:rsidR="002C721D" w:rsidRPr="002C721D" w:rsidRDefault="002C721D" w:rsidP="002C721D"/>
        </w:tc>
      </w:tr>
      <w:tr w:rsidR="00E92C4E" w14:paraId="67FB4FE3" w14:textId="63D4946D" w:rsidTr="00D53ACA">
        <w:trPr>
          <w:cantSplit/>
          <w:trHeight w:val="300"/>
        </w:trPr>
        <w:tc>
          <w:tcPr>
            <w:tcW w:w="1418" w:type="dxa"/>
          </w:tcPr>
          <w:p w14:paraId="05AF524A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31F48FB7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0E3A271E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17537EC5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1D080550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6D4EFA1A" w14:textId="77777777" w:rsidR="002C721D" w:rsidRPr="002C721D" w:rsidRDefault="002C721D" w:rsidP="002C721D"/>
        </w:tc>
      </w:tr>
      <w:tr w:rsidR="00E92C4E" w14:paraId="3C59E01F" w14:textId="31C23EB5" w:rsidTr="00D53ACA">
        <w:trPr>
          <w:cantSplit/>
          <w:trHeight w:val="300"/>
        </w:trPr>
        <w:tc>
          <w:tcPr>
            <w:tcW w:w="1418" w:type="dxa"/>
          </w:tcPr>
          <w:p w14:paraId="5A05BBA7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28FCDBB9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07860AD2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5DD74FEB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1C6289A9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3EC66DF" w14:textId="77777777" w:rsidR="002C721D" w:rsidRPr="002C721D" w:rsidRDefault="002C721D" w:rsidP="002C721D"/>
        </w:tc>
      </w:tr>
      <w:tr w:rsidR="00E92C4E" w14:paraId="60E2F6AA" w14:textId="0981A441" w:rsidTr="00D53ACA">
        <w:trPr>
          <w:cantSplit/>
          <w:trHeight w:val="300"/>
        </w:trPr>
        <w:tc>
          <w:tcPr>
            <w:tcW w:w="1418" w:type="dxa"/>
          </w:tcPr>
          <w:p w14:paraId="09F358BD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579FFD3C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2FC2D7F1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4DE9DD6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4C0B53E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4D8709E2" w14:textId="77777777" w:rsidR="00E92C4E" w:rsidRDefault="00E92C4E">
            <w:pPr>
              <w:pStyle w:val="Paragraph"/>
            </w:pPr>
          </w:p>
        </w:tc>
      </w:tr>
      <w:tr w:rsidR="00E92C4E" w14:paraId="039063A9" w14:textId="6ED35A06" w:rsidTr="00D53ACA">
        <w:trPr>
          <w:cantSplit/>
          <w:trHeight w:val="300"/>
        </w:trPr>
        <w:tc>
          <w:tcPr>
            <w:tcW w:w="1418" w:type="dxa"/>
          </w:tcPr>
          <w:p w14:paraId="73EBB9C9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3543562C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734D9D17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5B70D88B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46039F4D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D318F17" w14:textId="77777777" w:rsidR="00E92C4E" w:rsidRDefault="00E92C4E">
            <w:pPr>
              <w:pStyle w:val="Paragraph"/>
            </w:pPr>
          </w:p>
        </w:tc>
      </w:tr>
      <w:tr w:rsidR="00E92C4E" w14:paraId="2F0DA45D" w14:textId="4D475643" w:rsidTr="00D53ACA">
        <w:trPr>
          <w:cantSplit/>
          <w:trHeight w:val="300"/>
        </w:trPr>
        <w:tc>
          <w:tcPr>
            <w:tcW w:w="1418" w:type="dxa"/>
          </w:tcPr>
          <w:p w14:paraId="0034127F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68B64C94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34A4BDAF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5120B84B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61433C18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44C52327" w14:textId="77777777" w:rsidR="00E92C4E" w:rsidRDefault="00E92C4E">
            <w:pPr>
              <w:pStyle w:val="Paragraph"/>
            </w:pPr>
          </w:p>
        </w:tc>
      </w:tr>
      <w:tr w:rsidR="00E92C4E" w14:paraId="12C7610F" w14:textId="2F84E923" w:rsidTr="00D53ACA">
        <w:trPr>
          <w:cantSplit/>
          <w:trHeight w:val="300"/>
        </w:trPr>
        <w:tc>
          <w:tcPr>
            <w:tcW w:w="1418" w:type="dxa"/>
          </w:tcPr>
          <w:p w14:paraId="45DC2ED9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2AFE078F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6E74D2C9" w14:textId="58802D28" w:rsidR="00E92C4E" w:rsidRPr="0069276A" w:rsidRDefault="00E92C4E" w:rsidP="0069276A"/>
        </w:tc>
        <w:tc>
          <w:tcPr>
            <w:tcW w:w="1701" w:type="dxa"/>
          </w:tcPr>
          <w:p w14:paraId="514FD164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54351BBB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18F0A80D" w14:textId="77777777" w:rsidR="00E92C4E" w:rsidRDefault="00E92C4E">
            <w:pPr>
              <w:pStyle w:val="Paragraph"/>
            </w:pPr>
          </w:p>
        </w:tc>
      </w:tr>
      <w:tr w:rsidR="00E92C4E" w14:paraId="66350CA8" w14:textId="1873F52F" w:rsidTr="00D53ACA">
        <w:trPr>
          <w:cantSplit/>
          <w:trHeight w:val="300"/>
        </w:trPr>
        <w:tc>
          <w:tcPr>
            <w:tcW w:w="1418" w:type="dxa"/>
          </w:tcPr>
          <w:p w14:paraId="329E78CB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048CD4AC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29C7848E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49D36437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249D1FFA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391BEBA" w14:textId="77777777" w:rsidR="00E92C4E" w:rsidRDefault="00E92C4E">
            <w:pPr>
              <w:pStyle w:val="Paragraph"/>
            </w:pPr>
          </w:p>
        </w:tc>
      </w:tr>
      <w:tr w:rsidR="00E92C4E" w14:paraId="08FEF32E" w14:textId="0E9BAF47" w:rsidTr="00D53ACA">
        <w:trPr>
          <w:cantSplit/>
          <w:trHeight w:val="300"/>
        </w:trPr>
        <w:tc>
          <w:tcPr>
            <w:tcW w:w="1418" w:type="dxa"/>
          </w:tcPr>
          <w:p w14:paraId="684C2C8D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4D55FEC7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771C0529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1FEC6EC7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55A4F2D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59FEA7F" w14:textId="77777777" w:rsidR="00E92C4E" w:rsidRDefault="00E92C4E">
            <w:pPr>
              <w:pStyle w:val="Paragraph"/>
            </w:pPr>
          </w:p>
        </w:tc>
      </w:tr>
      <w:tr w:rsidR="00E92C4E" w14:paraId="37C34E66" w14:textId="3E16A78E" w:rsidTr="00D53ACA">
        <w:trPr>
          <w:cantSplit/>
          <w:trHeight w:val="300"/>
        </w:trPr>
        <w:tc>
          <w:tcPr>
            <w:tcW w:w="1418" w:type="dxa"/>
          </w:tcPr>
          <w:p w14:paraId="4D7C9D20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40A4A420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07392EC1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151D1EC9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27D59593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626DA24" w14:textId="77777777" w:rsidR="00E92C4E" w:rsidRDefault="00E92C4E">
            <w:pPr>
              <w:pStyle w:val="Paragraph"/>
            </w:pPr>
          </w:p>
        </w:tc>
      </w:tr>
      <w:tr w:rsidR="00E92C4E" w14:paraId="7691EA49" w14:textId="3A08B6D6" w:rsidTr="00D53ACA">
        <w:trPr>
          <w:cantSplit/>
          <w:trHeight w:val="300"/>
        </w:trPr>
        <w:tc>
          <w:tcPr>
            <w:tcW w:w="1418" w:type="dxa"/>
          </w:tcPr>
          <w:p w14:paraId="25A01271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08F047A7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04F999E7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40E9BAA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6371F1E3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7B5B0336" w14:textId="77777777" w:rsidR="00E92C4E" w:rsidRDefault="00E92C4E">
            <w:pPr>
              <w:pStyle w:val="Paragraph"/>
            </w:pPr>
          </w:p>
        </w:tc>
      </w:tr>
      <w:tr w:rsidR="00E92C4E" w14:paraId="5B3B4F6A" w14:textId="27EC1239" w:rsidTr="00D53ACA">
        <w:trPr>
          <w:cantSplit/>
          <w:trHeight w:val="300"/>
        </w:trPr>
        <w:tc>
          <w:tcPr>
            <w:tcW w:w="1418" w:type="dxa"/>
          </w:tcPr>
          <w:p w14:paraId="735F2421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23F9F662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476DD2C3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2C7E052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6D5E318F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2683DBBE" w14:textId="77777777" w:rsidR="00E92C4E" w:rsidRDefault="00E92C4E">
            <w:pPr>
              <w:pStyle w:val="Paragraph"/>
            </w:pPr>
          </w:p>
        </w:tc>
      </w:tr>
      <w:tr w:rsidR="00E92C4E" w14:paraId="26891FC7" w14:textId="56261C34" w:rsidTr="00D53ACA">
        <w:trPr>
          <w:cantSplit/>
          <w:trHeight w:val="300"/>
        </w:trPr>
        <w:tc>
          <w:tcPr>
            <w:tcW w:w="1418" w:type="dxa"/>
          </w:tcPr>
          <w:p w14:paraId="30A9194D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623C70DE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43C2E2F1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7393342E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5B7D8C49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F14C7E4" w14:textId="77777777" w:rsidR="00E92C4E" w:rsidRDefault="00E92C4E">
            <w:pPr>
              <w:pStyle w:val="Paragraph"/>
            </w:pPr>
          </w:p>
        </w:tc>
      </w:tr>
      <w:tr w:rsidR="00E92C4E" w14:paraId="76E95E93" w14:textId="2D9B6F54" w:rsidTr="00D53ACA">
        <w:trPr>
          <w:cantSplit/>
          <w:trHeight w:val="300"/>
        </w:trPr>
        <w:tc>
          <w:tcPr>
            <w:tcW w:w="1418" w:type="dxa"/>
          </w:tcPr>
          <w:p w14:paraId="6D2E0AD3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1A622D27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436AE53E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7F8A790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2509F04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F0AAED3" w14:textId="77777777" w:rsidR="00E92C4E" w:rsidRDefault="00E92C4E">
            <w:pPr>
              <w:pStyle w:val="Paragraph"/>
            </w:pPr>
          </w:p>
        </w:tc>
      </w:tr>
      <w:tr w:rsidR="00E92C4E" w14:paraId="606EF1F2" w14:textId="3A554CD2" w:rsidTr="00D53ACA">
        <w:trPr>
          <w:cantSplit/>
          <w:trHeight w:val="300"/>
        </w:trPr>
        <w:tc>
          <w:tcPr>
            <w:tcW w:w="1418" w:type="dxa"/>
          </w:tcPr>
          <w:p w14:paraId="17EDBCA8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166B314E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294F40A0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67BC72CE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3F219F45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7570E5E2" w14:textId="77777777" w:rsidR="00E92C4E" w:rsidRDefault="00E92C4E">
            <w:pPr>
              <w:pStyle w:val="Paragraph"/>
            </w:pPr>
          </w:p>
        </w:tc>
      </w:tr>
      <w:tr w:rsidR="00E92C4E" w14:paraId="5E01595F" w14:textId="41D433F1" w:rsidTr="00D53ACA">
        <w:trPr>
          <w:cantSplit/>
          <w:trHeight w:val="300"/>
        </w:trPr>
        <w:tc>
          <w:tcPr>
            <w:tcW w:w="1418" w:type="dxa"/>
          </w:tcPr>
          <w:p w14:paraId="5032EF69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4D176310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15404770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3714C9C1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76FEE1A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4D9740E" w14:textId="77777777" w:rsidR="00E92C4E" w:rsidRDefault="00E92C4E">
            <w:pPr>
              <w:pStyle w:val="Paragraph"/>
            </w:pPr>
          </w:p>
        </w:tc>
      </w:tr>
      <w:tr w:rsidR="00E92C4E" w14:paraId="1FCE08A6" w14:textId="6E739792" w:rsidTr="00D53ACA">
        <w:trPr>
          <w:cantSplit/>
          <w:trHeight w:val="300"/>
        </w:trPr>
        <w:tc>
          <w:tcPr>
            <w:tcW w:w="1418" w:type="dxa"/>
          </w:tcPr>
          <w:p w14:paraId="59DD451E" w14:textId="77777777" w:rsidR="00E92C4E" w:rsidRDefault="00E92C4E">
            <w:pPr>
              <w:pStyle w:val="Paragraph"/>
            </w:pPr>
          </w:p>
        </w:tc>
        <w:tc>
          <w:tcPr>
            <w:tcW w:w="850" w:type="dxa"/>
          </w:tcPr>
          <w:p w14:paraId="18B16B8A" w14:textId="77777777" w:rsidR="00E92C4E" w:rsidRDefault="00E92C4E">
            <w:pPr>
              <w:pStyle w:val="Paragraph"/>
            </w:pPr>
          </w:p>
        </w:tc>
        <w:tc>
          <w:tcPr>
            <w:tcW w:w="1985" w:type="dxa"/>
          </w:tcPr>
          <w:p w14:paraId="6977463A" w14:textId="77777777" w:rsidR="00E92C4E" w:rsidRDefault="00E92C4E">
            <w:pPr>
              <w:pStyle w:val="Paragraph"/>
            </w:pPr>
          </w:p>
        </w:tc>
        <w:tc>
          <w:tcPr>
            <w:tcW w:w="1701" w:type="dxa"/>
          </w:tcPr>
          <w:p w14:paraId="16DC8B12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0F1CC9B7" w14:textId="77777777" w:rsidR="00E92C4E" w:rsidRDefault="00E92C4E">
            <w:pPr>
              <w:pStyle w:val="Paragraph"/>
            </w:pPr>
          </w:p>
        </w:tc>
        <w:tc>
          <w:tcPr>
            <w:tcW w:w="1559" w:type="dxa"/>
          </w:tcPr>
          <w:p w14:paraId="638AA16A" w14:textId="77777777" w:rsidR="00E92C4E" w:rsidRDefault="00E92C4E">
            <w:pPr>
              <w:pStyle w:val="Paragraph"/>
            </w:pPr>
          </w:p>
        </w:tc>
      </w:tr>
      <w:tr w:rsidR="00250C40" w14:paraId="7486518A" w14:textId="77777777" w:rsidTr="00D53ACA">
        <w:trPr>
          <w:cantSplit/>
          <w:trHeight w:val="300"/>
        </w:trPr>
        <w:tc>
          <w:tcPr>
            <w:tcW w:w="1418" w:type="dxa"/>
          </w:tcPr>
          <w:p w14:paraId="5B463364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2F2E796B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24F4BB8A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5BCB636A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4B1C1E3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267D5EA" w14:textId="77777777" w:rsidR="00250C40" w:rsidRDefault="00250C40">
            <w:pPr>
              <w:pStyle w:val="Paragraph"/>
            </w:pPr>
          </w:p>
        </w:tc>
      </w:tr>
      <w:tr w:rsidR="00250C40" w14:paraId="266F1144" w14:textId="77777777" w:rsidTr="00D53ACA">
        <w:trPr>
          <w:cantSplit/>
          <w:trHeight w:val="300"/>
        </w:trPr>
        <w:tc>
          <w:tcPr>
            <w:tcW w:w="1418" w:type="dxa"/>
          </w:tcPr>
          <w:p w14:paraId="42DC6317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1BD23735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6A9CBB87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19D30AA1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04B7B22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7ABFAD7A" w14:textId="77777777" w:rsidR="00250C40" w:rsidRDefault="00250C40">
            <w:pPr>
              <w:pStyle w:val="Paragraph"/>
            </w:pPr>
          </w:p>
        </w:tc>
      </w:tr>
      <w:tr w:rsidR="00250C40" w14:paraId="1D37DC6F" w14:textId="77777777" w:rsidTr="00D53ACA">
        <w:trPr>
          <w:cantSplit/>
          <w:trHeight w:val="300"/>
        </w:trPr>
        <w:tc>
          <w:tcPr>
            <w:tcW w:w="1418" w:type="dxa"/>
          </w:tcPr>
          <w:p w14:paraId="0A8938BC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4D5236DF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660FFA27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0DFC8EA6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CF94009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711A68EA" w14:textId="77777777" w:rsidR="00250C40" w:rsidRDefault="00250C40">
            <w:pPr>
              <w:pStyle w:val="Paragraph"/>
            </w:pPr>
          </w:p>
        </w:tc>
      </w:tr>
      <w:tr w:rsidR="00250C40" w14:paraId="0AA682D9" w14:textId="77777777" w:rsidTr="00D53ACA">
        <w:trPr>
          <w:cantSplit/>
          <w:trHeight w:val="300"/>
        </w:trPr>
        <w:tc>
          <w:tcPr>
            <w:tcW w:w="1418" w:type="dxa"/>
          </w:tcPr>
          <w:p w14:paraId="24BD3658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09DA953B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219BA1F2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6AA08C84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C3B885C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02EAF430" w14:textId="77777777" w:rsidR="00250C40" w:rsidRDefault="00250C40">
            <w:pPr>
              <w:pStyle w:val="Paragraph"/>
            </w:pPr>
          </w:p>
        </w:tc>
      </w:tr>
      <w:tr w:rsidR="00250C40" w14:paraId="478C724A" w14:textId="77777777" w:rsidTr="00D53ACA">
        <w:trPr>
          <w:cantSplit/>
          <w:trHeight w:val="300"/>
        </w:trPr>
        <w:tc>
          <w:tcPr>
            <w:tcW w:w="1418" w:type="dxa"/>
          </w:tcPr>
          <w:p w14:paraId="076943C1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6C58E74D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29AE6AE9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234842E4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63ADAEE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3AED957B" w14:textId="77777777" w:rsidR="00250C40" w:rsidRDefault="00250C40">
            <w:pPr>
              <w:pStyle w:val="Paragraph"/>
            </w:pPr>
          </w:p>
        </w:tc>
      </w:tr>
      <w:tr w:rsidR="00250C40" w14:paraId="79ADE6A6" w14:textId="77777777" w:rsidTr="00D53ACA">
        <w:trPr>
          <w:cantSplit/>
          <w:trHeight w:val="300"/>
        </w:trPr>
        <w:tc>
          <w:tcPr>
            <w:tcW w:w="1418" w:type="dxa"/>
          </w:tcPr>
          <w:p w14:paraId="581DEA74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0EB854FC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50A11027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4DF58262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E97B7C0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7D712BE5" w14:textId="77777777" w:rsidR="00250C40" w:rsidRDefault="00250C40">
            <w:pPr>
              <w:pStyle w:val="Paragraph"/>
            </w:pPr>
          </w:p>
        </w:tc>
      </w:tr>
      <w:tr w:rsidR="00250C40" w14:paraId="073089FE" w14:textId="77777777" w:rsidTr="00D53ACA">
        <w:trPr>
          <w:cantSplit/>
          <w:trHeight w:val="300"/>
        </w:trPr>
        <w:tc>
          <w:tcPr>
            <w:tcW w:w="1418" w:type="dxa"/>
          </w:tcPr>
          <w:p w14:paraId="7DB3C763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74F5122E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78C75A3B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12DD7C74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5FC1AB9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439A07F8" w14:textId="77777777" w:rsidR="00250C40" w:rsidRDefault="00250C40">
            <w:pPr>
              <w:pStyle w:val="Paragraph"/>
            </w:pPr>
          </w:p>
        </w:tc>
      </w:tr>
      <w:tr w:rsidR="00250C40" w14:paraId="68F6DABA" w14:textId="77777777" w:rsidTr="00D53ACA">
        <w:trPr>
          <w:cantSplit/>
          <w:trHeight w:val="300"/>
        </w:trPr>
        <w:tc>
          <w:tcPr>
            <w:tcW w:w="1418" w:type="dxa"/>
          </w:tcPr>
          <w:p w14:paraId="41422F0E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231401BB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51932E03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16590315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6FD7F5DF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4B006386" w14:textId="77777777" w:rsidR="00250C40" w:rsidRDefault="00250C40">
            <w:pPr>
              <w:pStyle w:val="Paragraph"/>
            </w:pPr>
          </w:p>
        </w:tc>
      </w:tr>
      <w:tr w:rsidR="00250C40" w14:paraId="53ACF349" w14:textId="77777777" w:rsidTr="00D53ACA">
        <w:trPr>
          <w:cantSplit/>
          <w:trHeight w:val="300"/>
        </w:trPr>
        <w:tc>
          <w:tcPr>
            <w:tcW w:w="1418" w:type="dxa"/>
          </w:tcPr>
          <w:p w14:paraId="040AB7AA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2A34A2D7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4057E0C8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065727DC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8A0D62C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D45391E" w14:textId="77777777" w:rsidR="00250C40" w:rsidRDefault="00250C40">
            <w:pPr>
              <w:pStyle w:val="Paragraph"/>
            </w:pPr>
          </w:p>
        </w:tc>
      </w:tr>
      <w:tr w:rsidR="00250C40" w14:paraId="6BBF9AFD" w14:textId="77777777" w:rsidTr="00D53ACA">
        <w:trPr>
          <w:cantSplit/>
          <w:trHeight w:val="300"/>
        </w:trPr>
        <w:tc>
          <w:tcPr>
            <w:tcW w:w="1418" w:type="dxa"/>
          </w:tcPr>
          <w:p w14:paraId="1F0319AC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54FCA750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7BAB7B01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7C9AD87C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B700874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74012A45" w14:textId="77777777" w:rsidR="00250C40" w:rsidRDefault="00250C40">
            <w:pPr>
              <w:pStyle w:val="Paragraph"/>
            </w:pPr>
          </w:p>
        </w:tc>
      </w:tr>
      <w:tr w:rsidR="00250C40" w14:paraId="6420E658" w14:textId="77777777" w:rsidTr="00D53ACA">
        <w:trPr>
          <w:cantSplit/>
          <w:trHeight w:val="300"/>
        </w:trPr>
        <w:tc>
          <w:tcPr>
            <w:tcW w:w="1418" w:type="dxa"/>
          </w:tcPr>
          <w:p w14:paraId="1BB816D4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00507526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29AAD3C6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198B29C7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0ACE66CD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B4A8018" w14:textId="77777777" w:rsidR="00250C40" w:rsidRDefault="00250C40">
            <w:pPr>
              <w:pStyle w:val="Paragraph"/>
            </w:pPr>
          </w:p>
        </w:tc>
      </w:tr>
      <w:tr w:rsidR="00250C40" w14:paraId="03542B0C" w14:textId="77777777" w:rsidTr="00D53ACA">
        <w:trPr>
          <w:cantSplit/>
          <w:trHeight w:val="300"/>
        </w:trPr>
        <w:tc>
          <w:tcPr>
            <w:tcW w:w="1418" w:type="dxa"/>
          </w:tcPr>
          <w:p w14:paraId="5F479EDF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59A6B27E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6B1A71AC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7087D4E2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25FED69E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3C7C3042" w14:textId="77777777" w:rsidR="00250C40" w:rsidRDefault="00250C40">
            <w:pPr>
              <w:pStyle w:val="Paragraph"/>
            </w:pPr>
          </w:p>
        </w:tc>
      </w:tr>
      <w:tr w:rsidR="00250C40" w14:paraId="547B67AF" w14:textId="77777777" w:rsidTr="00D53ACA">
        <w:trPr>
          <w:cantSplit/>
          <w:trHeight w:val="300"/>
        </w:trPr>
        <w:tc>
          <w:tcPr>
            <w:tcW w:w="1418" w:type="dxa"/>
          </w:tcPr>
          <w:p w14:paraId="7628BF65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14438CCB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7E7CFEF7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1C4E44EA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01B6902A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53C555DA" w14:textId="77777777" w:rsidR="00250C40" w:rsidRDefault="00250C40">
            <w:pPr>
              <w:pStyle w:val="Paragraph"/>
            </w:pPr>
          </w:p>
        </w:tc>
      </w:tr>
      <w:tr w:rsidR="00250C40" w14:paraId="4946AF41" w14:textId="77777777" w:rsidTr="00D53ACA">
        <w:trPr>
          <w:cantSplit/>
          <w:trHeight w:val="300"/>
        </w:trPr>
        <w:tc>
          <w:tcPr>
            <w:tcW w:w="1418" w:type="dxa"/>
          </w:tcPr>
          <w:p w14:paraId="3D74B9EB" w14:textId="77777777" w:rsidR="00250C40" w:rsidRDefault="00250C40">
            <w:pPr>
              <w:pStyle w:val="Paragraph"/>
            </w:pPr>
          </w:p>
        </w:tc>
        <w:tc>
          <w:tcPr>
            <w:tcW w:w="850" w:type="dxa"/>
          </w:tcPr>
          <w:p w14:paraId="420D2F95" w14:textId="77777777" w:rsidR="00250C40" w:rsidRDefault="00250C40">
            <w:pPr>
              <w:pStyle w:val="Paragraph"/>
            </w:pPr>
          </w:p>
        </w:tc>
        <w:tc>
          <w:tcPr>
            <w:tcW w:w="1985" w:type="dxa"/>
          </w:tcPr>
          <w:p w14:paraId="0EE73E59" w14:textId="77777777" w:rsidR="00250C40" w:rsidRDefault="00250C40">
            <w:pPr>
              <w:pStyle w:val="Paragraph"/>
            </w:pPr>
          </w:p>
        </w:tc>
        <w:tc>
          <w:tcPr>
            <w:tcW w:w="1701" w:type="dxa"/>
          </w:tcPr>
          <w:p w14:paraId="584FA04A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01C52D6C" w14:textId="77777777" w:rsidR="00250C40" w:rsidRDefault="00250C40">
            <w:pPr>
              <w:pStyle w:val="Paragraph"/>
            </w:pPr>
          </w:p>
        </w:tc>
        <w:tc>
          <w:tcPr>
            <w:tcW w:w="1559" w:type="dxa"/>
          </w:tcPr>
          <w:p w14:paraId="046C495A" w14:textId="77777777" w:rsidR="00250C40" w:rsidRDefault="00250C40">
            <w:pPr>
              <w:pStyle w:val="Paragraph"/>
            </w:pPr>
          </w:p>
        </w:tc>
      </w:tr>
      <w:tr w:rsidR="00004FD0" w14:paraId="592043BE" w14:textId="77777777" w:rsidTr="00D53ACA">
        <w:trPr>
          <w:cantSplit/>
          <w:trHeight w:val="300"/>
        </w:trPr>
        <w:tc>
          <w:tcPr>
            <w:tcW w:w="1418" w:type="dxa"/>
          </w:tcPr>
          <w:p w14:paraId="184F8B5E" w14:textId="77777777" w:rsidR="00004FD0" w:rsidRDefault="00004FD0">
            <w:pPr>
              <w:pStyle w:val="Paragraph"/>
            </w:pPr>
          </w:p>
        </w:tc>
        <w:tc>
          <w:tcPr>
            <w:tcW w:w="850" w:type="dxa"/>
          </w:tcPr>
          <w:p w14:paraId="3EA24CF8" w14:textId="77777777" w:rsidR="00004FD0" w:rsidRDefault="00004FD0">
            <w:pPr>
              <w:pStyle w:val="Paragraph"/>
            </w:pPr>
          </w:p>
        </w:tc>
        <w:tc>
          <w:tcPr>
            <w:tcW w:w="1985" w:type="dxa"/>
          </w:tcPr>
          <w:p w14:paraId="736FAC4B" w14:textId="77777777" w:rsidR="00004FD0" w:rsidRDefault="00004FD0">
            <w:pPr>
              <w:pStyle w:val="Paragraph"/>
            </w:pPr>
          </w:p>
        </w:tc>
        <w:tc>
          <w:tcPr>
            <w:tcW w:w="1701" w:type="dxa"/>
          </w:tcPr>
          <w:p w14:paraId="1E31B029" w14:textId="77777777" w:rsidR="00004FD0" w:rsidRDefault="00004FD0">
            <w:pPr>
              <w:pStyle w:val="Paragraph"/>
            </w:pPr>
          </w:p>
        </w:tc>
        <w:tc>
          <w:tcPr>
            <w:tcW w:w="1559" w:type="dxa"/>
          </w:tcPr>
          <w:p w14:paraId="733FD28F" w14:textId="77777777" w:rsidR="00004FD0" w:rsidRDefault="00004FD0">
            <w:pPr>
              <w:pStyle w:val="Paragraph"/>
            </w:pPr>
          </w:p>
        </w:tc>
        <w:tc>
          <w:tcPr>
            <w:tcW w:w="1559" w:type="dxa"/>
          </w:tcPr>
          <w:p w14:paraId="727DA498" w14:textId="77777777" w:rsidR="00004FD0" w:rsidRDefault="00004FD0">
            <w:pPr>
              <w:pStyle w:val="Paragraph"/>
            </w:pPr>
          </w:p>
        </w:tc>
      </w:tr>
    </w:tbl>
    <w:p w14:paraId="62FDD6F8" w14:textId="6D092EBE" w:rsidR="00EA3CDA" w:rsidRDefault="000E2EC2" w:rsidP="00F92566">
      <w:pPr>
        <w:pStyle w:val="Heading2"/>
        <w:rPr>
          <w:szCs w:val="24"/>
        </w:rPr>
      </w:pPr>
      <w:r>
        <w:rPr>
          <w:szCs w:val="24"/>
        </w:rPr>
        <w:lastRenderedPageBreak/>
        <w:t>Review</w:t>
      </w:r>
      <w:r w:rsidR="00B25981" w:rsidRPr="00F92566">
        <w:rPr>
          <w:szCs w:val="24"/>
        </w:rPr>
        <w:t xml:space="preserve"> </w:t>
      </w:r>
      <w:r w:rsidR="00A16855">
        <w:rPr>
          <w:szCs w:val="24"/>
        </w:rPr>
        <w:t xml:space="preserve">of </w:t>
      </w:r>
      <w:r w:rsidR="00A47D1C">
        <w:rPr>
          <w:szCs w:val="24"/>
        </w:rPr>
        <w:t xml:space="preserve">nitrous oxide </w:t>
      </w:r>
      <w:r w:rsidR="00E24606">
        <w:rPr>
          <w:szCs w:val="24"/>
        </w:rPr>
        <w:t>supply</w:t>
      </w:r>
    </w:p>
    <w:p w14:paraId="260602FD" w14:textId="09947388" w:rsidR="00BF444D" w:rsidRDefault="00BF444D" w:rsidP="00BF444D">
      <w:pPr>
        <w:pStyle w:val="Paragraph"/>
        <w:jc w:val="left"/>
        <w:rPr>
          <w:sz w:val="24"/>
        </w:rPr>
      </w:pPr>
      <w:r>
        <w:rPr>
          <w:sz w:val="24"/>
        </w:rPr>
        <w:t>Reviewer: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C4DE8">
        <w:rPr>
          <w:color w:val="0000FF"/>
          <w:sz w:val="24"/>
        </w:rPr>
        <w:t>[name]</w:t>
      </w:r>
    </w:p>
    <w:p w14:paraId="4FAD7967" w14:textId="77777777" w:rsidR="00BF444D" w:rsidRDefault="00BF444D" w:rsidP="00BF444D">
      <w:pPr>
        <w:pStyle w:val="Paragraph"/>
        <w:jc w:val="left"/>
        <w:rPr>
          <w:sz w:val="24"/>
        </w:rPr>
      </w:pPr>
      <w:r>
        <w:rPr>
          <w:sz w:val="24"/>
        </w:rPr>
        <w:t>S</w:t>
      </w:r>
      <w:r w:rsidRPr="000D0FE9">
        <w:rPr>
          <w:sz w:val="24"/>
        </w:rPr>
        <w:t>tart of review period:</w:t>
      </w:r>
      <w:r>
        <w:rPr>
          <w:sz w:val="24"/>
        </w:rPr>
        <w:tab/>
      </w:r>
      <w:r w:rsidRPr="003C4DE8">
        <w:rPr>
          <w:color w:val="0000FF"/>
          <w:sz w:val="24"/>
        </w:rPr>
        <w:t>[date]</w:t>
      </w:r>
    </w:p>
    <w:p w14:paraId="4D1747EC" w14:textId="77777777" w:rsidR="00BF444D" w:rsidRPr="00466209" w:rsidRDefault="00BF444D" w:rsidP="00BF444D">
      <w:pPr>
        <w:pStyle w:val="Paragraph"/>
        <w:jc w:val="left"/>
        <w:rPr>
          <w:sz w:val="24"/>
        </w:rPr>
      </w:pPr>
      <w:r>
        <w:rPr>
          <w:sz w:val="24"/>
        </w:rPr>
        <w:t>E</w:t>
      </w:r>
      <w:r w:rsidRPr="000D0FE9">
        <w:rPr>
          <w:sz w:val="24"/>
        </w:rPr>
        <w:t>nd of review period:</w:t>
      </w:r>
      <w:r>
        <w:rPr>
          <w:sz w:val="24"/>
        </w:rPr>
        <w:tab/>
      </w:r>
      <w:r w:rsidRPr="003C4DE8">
        <w:rPr>
          <w:color w:val="0000FF"/>
          <w:sz w:val="24"/>
        </w:rPr>
        <w:t>[date]</w:t>
      </w:r>
    </w:p>
    <w:p w14:paraId="0294EE78" w14:textId="0C697395" w:rsidR="00F279DD" w:rsidRDefault="00F279DD" w:rsidP="00F279DD">
      <w:pPr>
        <w:spacing w:line="360" w:lineRule="auto"/>
        <w:rPr>
          <w:color w:val="0000F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336"/>
        <w:gridCol w:w="1701"/>
        <w:gridCol w:w="1701"/>
        <w:gridCol w:w="1985"/>
        <w:gridCol w:w="1385"/>
      </w:tblGrid>
      <w:tr w:rsidR="00F041E9" w:rsidRPr="004A5B67" w14:paraId="28D0C7BC" w14:textId="44732397" w:rsidTr="00707CB8">
        <w:tc>
          <w:tcPr>
            <w:tcW w:w="1069" w:type="dxa"/>
          </w:tcPr>
          <w:p w14:paraId="4A19B610" w14:textId="6B5FFCC8" w:rsidR="00F041E9" w:rsidRPr="00601ACC" w:rsidRDefault="00F041E9" w:rsidP="00707CB8">
            <w:pPr>
              <w:rPr>
                <w:sz w:val="24"/>
              </w:rPr>
            </w:pPr>
            <w:r w:rsidRPr="00601ACC">
              <w:rPr>
                <w:sz w:val="24"/>
              </w:rPr>
              <w:t xml:space="preserve">Cylinder </w:t>
            </w:r>
            <w:r w:rsidR="00FE23E7">
              <w:rPr>
                <w:sz w:val="24"/>
              </w:rPr>
              <w:t>s</w:t>
            </w:r>
            <w:r w:rsidRPr="00601ACC">
              <w:rPr>
                <w:sz w:val="24"/>
              </w:rPr>
              <w:t>ize</w:t>
            </w:r>
          </w:p>
        </w:tc>
        <w:tc>
          <w:tcPr>
            <w:tcW w:w="1336" w:type="dxa"/>
          </w:tcPr>
          <w:p w14:paraId="576A6C7C" w14:textId="4A3F66B3" w:rsidR="00F041E9" w:rsidRPr="00601ACC" w:rsidRDefault="00F041E9" w:rsidP="00707CB8">
            <w:pPr>
              <w:rPr>
                <w:sz w:val="24"/>
              </w:rPr>
            </w:pPr>
            <w:r w:rsidRPr="00601ACC">
              <w:rPr>
                <w:sz w:val="24"/>
              </w:rPr>
              <w:t>Gas content (litres)</w:t>
            </w:r>
          </w:p>
        </w:tc>
        <w:tc>
          <w:tcPr>
            <w:tcW w:w="1701" w:type="dxa"/>
          </w:tcPr>
          <w:p w14:paraId="159C9D4D" w14:textId="423C6FAB" w:rsidR="00F041E9" w:rsidRPr="00601ACC" w:rsidRDefault="00F041E9" w:rsidP="00707CB8">
            <w:pPr>
              <w:rPr>
                <w:sz w:val="24"/>
              </w:rPr>
            </w:pPr>
            <w:r w:rsidRPr="00601ACC">
              <w:rPr>
                <w:sz w:val="24"/>
              </w:rPr>
              <w:t>Number of cylinders received</w:t>
            </w:r>
            <w:r w:rsidR="003B3AA2" w:rsidRPr="00601ACC">
              <w:rPr>
                <w:sz w:val="24"/>
              </w:rPr>
              <w:t xml:space="preserve"> during review period</w:t>
            </w:r>
          </w:p>
        </w:tc>
        <w:tc>
          <w:tcPr>
            <w:tcW w:w="1701" w:type="dxa"/>
          </w:tcPr>
          <w:p w14:paraId="08117278" w14:textId="601EA3DD" w:rsidR="00F041E9" w:rsidRPr="00601ACC" w:rsidRDefault="004E3B02" w:rsidP="00707CB8">
            <w:pPr>
              <w:rPr>
                <w:sz w:val="24"/>
              </w:rPr>
            </w:pPr>
            <w:r w:rsidRPr="00601ACC">
              <w:rPr>
                <w:sz w:val="24"/>
              </w:rPr>
              <w:t>Number of cylinders returned</w:t>
            </w:r>
            <w:r w:rsidR="003B3AA2" w:rsidRPr="00601ACC">
              <w:rPr>
                <w:sz w:val="24"/>
              </w:rPr>
              <w:t xml:space="preserve"> during review period</w:t>
            </w:r>
          </w:p>
        </w:tc>
        <w:tc>
          <w:tcPr>
            <w:tcW w:w="1985" w:type="dxa"/>
          </w:tcPr>
          <w:p w14:paraId="6528F672" w14:textId="233D2270" w:rsidR="00F041E9" w:rsidRPr="00601ACC" w:rsidRDefault="00EE6984" w:rsidP="00707CB8">
            <w:pPr>
              <w:rPr>
                <w:sz w:val="24"/>
              </w:rPr>
            </w:pPr>
            <w:r>
              <w:rPr>
                <w:sz w:val="24"/>
              </w:rPr>
              <w:t>Supply</w:t>
            </w:r>
            <w:r w:rsidRPr="00601ACC">
              <w:rPr>
                <w:sz w:val="24"/>
              </w:rPr>
              <w:t xml:space="preserve"> </w:t>
            </w:r>
            <w:r w:rsidR="00892C67" w:rsidRPr="00601ACC">
              <w:rPr>
                <w:sz w:val="24"/>
              </w:rPr>
              <w:t>(litres)</w:t>
            </w:r>
            <w:r w:rsidR="006027A1" w:rsidRPr="00601ACC">
              <w:rPr>
                <w:sz w:val="24"/>
              </w:rPr>
              <w:br/>
            </w:r>
            <w:r w:rsidR="00892C67" w:rsidRPr="00601ACC">
              <w:rPr>
                <w:sz w:val="24"/>
              </w:rPr>
              <w:t>[</w:t>
            </w:r>
            <w:r w:rsidR="006027A1" w:rsidRPr="00601ACC">
              <w:rPr>
                <w:sz w:val="24"/>
              </w:rPr>
              <w:t>no. of cylinders returned x gas content</w:t>
            </w:r>
            <w:r w:rsidR="00892C67" w:rsidRPr="00601ACC">
              <w:rPr>
                <w:sz w:val="24"/>
              </w:rPr>
              <w:t>]</w:t>
            </w:r>
          </w:p>
        </w:tc>
        <w:tc>
          <w:tcPr>
            <w:tcW w:w="1385" w:type="dxa"/>
          </w:tcPr>
          <w:p w14:paraId="10292A94" w14:textId="62D6AB0E" w:rsidR="00F041E9" w:rsidRPr="00601ACC" w:rsidRDefault="00625D20" w:rsidP="00707CB8">
            <w:pPr>
              <w:rPr>
                <w:sz w:val="24"/>
              </w:rPr>
            </w:pPr>
            <w:r w:rsidRPr="00601ACC">
              <w:rPr>
                <w:sz w:val="24"/>
              </w:rPr>
              <w:t>Number of cylinders returned unused</w:t>
            </w:r>
          </w:p>
        </w:tc>
      </w:tr>
      <w:tr w:rsidR="00F041E9" w:rsidRPr="004A5B67" w14:paraId="1A9F8840" w14:textId="6A3280D0" w:rsidTr="00707CB8">
        <w:tc>
          <w:tcPr>
            <w:tcW w:w="1069" w:type="dxa"/>
          </w:tcPr>
          <w:p w14:paraId="6C8B4658" w14:textId="7D53BB8A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336" w:type="dxa"/>
          </w:tcPr>
          <w:p w14:paraId="36169003" w14:textId="07BA0AF1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701" w:type="dxa"/>
          </w:tcPr>
          <w:p w14:paraId="0C4ECA8A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530E964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D2E4B1B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2E8492F7" w14:textId="77777777" w:rsidR="00F041E9" w:rsidRPr="00EF3685" w:rsidRDefault="00F041E9" w:rsidP="00707CB8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F041E9" w:rsidRPr="004A5B67" w14:paraId="7FC8C45B" w14:textId="63D60350" w:rsidTr="00707CB8">
        <w:tc>
          <w:tcPr>
            <w:tcW w:w="1069" w:type="dxa"/>
          </w:tcPr>
          <w:p w14:paraId="753ACBD3" w14:textId="104E8729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6" w:type="dxa"/>
          </w:tcPr>
          <w:p w14:paraId="6BAA4FEA" w14:textId="20E87715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1,800</w:t>
            </w:r>
          </w:p>
        </w:tc>
        <w:tc>
          <w:tcPr>
            <w:tcW w:w="1701" w:type="dxa"/>
          </w:tcPr>
          <w:p w14:paraId="33AC0C95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F6E0A12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473A3645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2449EE94" w14:textId="77777777" w:rsidR="00F041E9" w:rsidRPr="00EF3685" w:rsidRDefault="00F041E9" w:rsidP="00707CB8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F041E9" w:rsidRPr="004A5B67" w14:paraId="63C72AD2" w14:textId="548F2AF0" w:rsidTr="00707CB8">
        <w:tc>
          <w:tcPr>
            <w:tcW w:w="1069" w:type="dxa"/>
          </w:tcPr>
          <w:p w14:paraId="5421DD1B" w14:textId="2FA3E445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336" w:type="dxa"/>
          </w:tcPr>
          <w:p w14:paraId="322C2D00" w14:textId="7D0CBE9D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3,600</w:t>
            </w:r>
          </w:p>
        </w:tc>
        <w:tc>
          <w:tcPr>
            <w:tcW w:w="1701" w:type="dxa"/>
          </w:tcPr>
          <w:p w14:paraId="0BB1EAF1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6EAA031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20CA87CB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136F0B9D" w14:textId="77777777" w:rsidR="00F041E9" w:rsidRPr="00EF3685" w:rsidRDefault="00F041E9" w:rsidP="00707CB8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F041E9" w:rsidRPr="004A5B67" w14:paraId="0318AC1B" w14:textId="3A780EAA" w:rsidTr="00707CB8">
        <w:tc>
          <w:tcPr>
            <w:tcW w:w="1069" w:type="dxa"/>
          </w:tcPr>
          <w:p w14:paraId="6AC2A19D" w14:textId="3D7903A2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336" w:type="dxa"/>
          </w:tcPr>
          <w:p w14:paraId="47BEF062" w14:textId="78856B2B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701" w:type="dxa"/>
          </w:tcPr>
          <w:p w14:paraId="4C4077F9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54E789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244DFAC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2AD75EE2" w14:textId="77777777" w:rsidR="00F041E9" w:rsidRPr="00EF3685" w:rsidRDefault="00F041E9" w:rsidP="00707CB8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  <w:tr w:rsidR="00F041E9" w:rsidRPr="004A5B67" w14:paraId="53981A8C" w14:textId="545C0698" w:rsidTr="00707CB8">
        <w:tc>
          <w:tcPr>
            <w:tcW w:w="1069" w:type="dxa"/>
          </w:tcPr>
          <w:p w14:paraId="7B2704C8" w14:textId="0D3F3D09" w:rsidR="00F041E9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1336" w:type="dxa"/>
          </w:tcPr>
          <w:p w14:paraId="22EF5B8E" w14:textId="30F40335" w:rsidR="00F041E9" w:rsidRPr="004A5B67" w:rsidRDefault="00F041E9" w:rsidP="000915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701" w:type="dxa"/>
          </w:tcPr>
          <w:p w14:paraId="66317C21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D86B5BE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4B41AD8C" w14:textId="77777777" w:rsidR="00F041E9" w:rsidRDefault="00F041E9" w:rsidP="00707C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6975C5D7" w14:textId="77777777" w:rsidR="00F041E9" w:rsidRPr="00EF3685" w:rsidRDefault="00F041E9" w:rsidP="00707CB8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</w:tr>
    </w:tbl>
    <w:p w14:paraId="67F51244" w14:textId="77777777" w:rsidR="00F31636" w:rsidRDefault="00F31636" w:rsidP="00F279DD">
      <w:pPr>
        <w:spacing w:line="360" w:lineRule="auto"/>
        <w:rPr>
          <w:color w:val="0000FF"/>
          <w:sz w:val="24"/>
        </w:rPr>
      </w:pPr>
    </w:p>
    <w:p w14:paraId="37B34A79" w14:textId="465B74C3" w:rsidR="00EA3CDA" w:rsidRPr="00601ACC" w:rsidRDefault="00933E5D" w:rsidP="00EA3CDA">
      <w:pPr>
        <w:rPr>
          <w:color w:val="0000FF"/>
          <w:sz w:val="24"/>
        </w:rPr>
      </w:pPr>
      <w:r w:rsidRPr="00601ACC">
        <w:rPr>
          <w:sz w:val="24"/>
        </w:rPr>
        <w:t xml:space="preserve">Total </w:t>
      </w:r>
      <w:r w:rsidR="00BF01CB">
        <w:rPr>
          <w:sz w:val="24"/>
        </w:rPr>
        <w:t>volume of nitrous oxide suppl</w:t>
      </w:r>
      <w:r w:rsidR="00925A2A">
        <w:rPr>
          <w:sz w:val="24"/>
        </w:rPr>
        <w:t>y</w:t>
      </w:r>
      <w:r w:rsidR="00775B7A" w:rsidRPr="00601ACC">
        <w:rPr>
          <w:sz w:val="24"/>
        </w:rPr>
        <w:t xml:space="preserve"> during review period</w:t>
      </w:r>
      <w:r w:rsidR="00501399" w:rsidRPr="00601ACC">
        <w:rPr>
          <w:sz w:val="24"/>
        </w:rPr>
        <w:t xml:space="preserve"> (litres)</w:t>
      </w:r>
      <w:r w:rsidR="003D78D5" w:rsidRPr="00601ACC">
        <w:rPr>
          <w:sz w:val="24"/>
        </w:rPr>
        <w:t xml:space="preserve"> = </w:t>
      </w:r>
      <w:r w:rsidR="002D6D38" w:rsidRPr="00601ACC">
        <w:rPr>
          <w:color w:val="0000FF"/>
          <w:sz w:val="24"/>
        </w:rPr>
        <w:t>[</w:t>
      </w:r>
      <w:r w:rsidR="00623081">
        <w:rPr>
          <w:color w:val="0000FF"/>
          <w:sz w:val="24"/>
        </w:rPr>
        <w:t>sum</w:t>
      </w:r>
      <w:r w:rsidR="002D6D38" w:rsidRPr="00601ACC">
        <w:rPr>
          <w:color w:val="0000FF"/>
          <w:sz w:val="24"/>
        </w:rPr>
        <w:t xml:space="preserve"> of </w:t>
      </w:r>
      <w:r w:rsidR="00623081">
        <w:rPr>
          <w:color w:val="0000FF"/>
          <w:sz w:val="24"/>
        </w:rPr>
        <w:t>supply</w:t>
      </w:r>
      <w:r w:rsidR="00623081" w:rsidRPr="00601ACC">
        <w:rPr>
          <w:color w:val="0000FF"/>
          <w:sz w:val="24"/>
        </w:rPr>
        <w:t xml:space="preserve"> </w:t>
      </w:r>
      <w:r w:rsidR="00BA5457" w:rsidRPr="00601ACC">
        <w:rPr>
          <w:color w:val="0000FF"/>
          <w:sz w:val="24"/>
        </w:rPr>
        <w:t>from all sizes of cylinder</w:t>
      </w:r>
      <w:r w:rsidR="00484A73" w:rsidRPr="00601ACC">
        <w:rPr>
          <w:color w:val="0000FF"/>
          <w:sz w:val="24"/>
        </w:rPr>
        <w:t>]</w:t>
      </w:r>
    </w:p>
    <w:p w14:paraId="1F266DD1" w14:textId="77777777" w:rsidR="006B11CC" w:rsidRDefault="006B11CC" w:rsidP="006B11CC">
      <w:pPr>
        <w:pStyle w:val="Heading2"/>
      </w:pPr>
      <w:r>
        <w:t>Conclusions</w:t>
      </w:r>
    </w:p>
    <w:p w14:paraId="2E8A2CE5" w14:textId="3EFA205A" w:rsidR="006B11CC" w:rsidRPr="0025058C" w:rsidRDefault="0025058C" w:rsidP="0025058C">
      <w:pPr>
        <w:spacing w:line="360" w:lineRule="auto"/>
        <w:rPr>
          <w:color w:val="0000FF"/>
          <w:sz w:val="24"/>
        </w:rPr>
      </w:pPr>
      <w:r>
        <w:rPr>
          <w:color w:val="0000FF"/>
          <w:sz w:val="24"/>
        </w:rPr>
        <w:t>[Consider</w:t>
      </w:r>
      <w:r w:rsidR="00560710">
        <w:rPr>
          <w:color w:val="0000FF"/>
          <w:sz w:val="24"/>
        </w:rPr>
        <w:t xml:space="preserve"> whether </w:t>
      </w:r>
      <w:r w:rsidR="007A6BE3">
        <w:rPr>
          <w:color w:val="0000FF"/>
          <w:sz w:val="24"/>
        </w:rPr>
        <w:t>supply is excessive</w:t>
      </w:r>
      <w:r w:rsidR="00D126CE">
        <w:rPr>
          <w:color w:val="0000FF"/>
          <w:sz w:val="24"/>
        </w:rPr>
        <w:t xml:space="preserve"> </w:t>
      </w:r>
      <w:proofErr w:type="gramStart"/>
      <w:r w:rsidR="00D126CE">
        <w:rPr>
          <w:color w:val="0000FF"/>
          <w:sz w:val="24"/>
        </w:rPr>
        <w:t>i.e.</w:t>
      </w:r>
      <w:proofErr w:type="gramEnd"/>
      <w:r w:rsidR="00D126CE">
        <w:rPr>
          <w:color w:val="0000FF"/>
          <w:sz w:val="24"/>
        </w:rPr>
        <w:t xml:space="preserve"> </w:t>
      </w:r>
      <w:r w:rsidR="00900B4C">
        <w:rPr>
          <w:color w:val="0000FF"/>
          <w:sz w:val="24"/>
        </w:rPr>
        <w:t>significantly</w:t>
      </w:r>
      <w:r w:rsidR="00482A71">
        <w:rPr>
          <w:color w:val="0000FF"/>
          <w:sz w:val="24"/>
        </w:rPr>
        <w:t xml:space="preserve"> more cylinders received than returned or </w:t>
      </w:r>
      <w:r w:rsidR="002A6016">
        <w:rPr>
          <w:color w:val="0000FF"/>
          <w:sz w:val="24"/>
        </w:rPr>
        <w:t xml:space="preserve">any </w:t>
      </w:r>
      <w:r w:rsidR="00DB64FC">
        <w:rPr>
          <w:color w:val="0000FF"/>
          <w:sz w:val="24"/>
        </w:rPr>
        <w:t>cylinders have been returned to supplier unused</w:t>
      </w:r>
      <w:r w:rsidR="00820BD4">
        <w:rPr>
          <w:color w:val="0000FF"/>
          <w:sz w:val="24"/>
        </w:rPr>
        <w:t>.</w:t>
      </w:r>
      <w:r w:rsidR="00991577">
        <w:rPr>
          <w:color w:val="0000FF"/>
          <w:sz w:val="24"/>
        </w:rPr>
        <w:t xml:space="preserve"> If cylinders have been returned unused b</w:t>
      </w:r>
      <w:r w:rsidR="00CE0A30">
        <w:rPr>
          <w:color w:val="0000FF"/>
          <w:sz w:val="24"/>
        </w:rPr>
        <w:t xml:space="preserve">ecause they have reached their expiry date, consider whether stock rotation </w:t>
      </w:r>
      <w:r w:rsidR="00E87925">
        <w:rPr>
          <w:color w:val="0000FF"/>
          <w:sz w:val="24"/>
        </w:rPr>
        <w:t>system is adequate.]</w:t>
      </w:r>
    </w:p>
    <w:p w14:paraId="5A85C6DB" w14:textId="77777777" w:rsidR="006B11CC" w:rsidRPr="002536C1" w:rsidRDefault="006B11CC" w:rsidP="00B945E4">
      <w:pPr>
        <w:pStyle w:val="Paragraph"/>
        <w:rPr>
          <w:sz w:val="24"/>
        </w:rPr>
      </w:pPr>
    </w:p>
    <w:p w14:paraId="592AA5D6" w14:textId="3D9B37CE" w:rsidR="006B11CC" w:rsidRDefault="006B11CC" w:rsidP="006B11CC">
      <w:pPr>
        <w:pStyle w:val="Heading2"/>
      </w:pPr>
      <w:r>
        <w:t xml:space="preserve">Action </w:t>
      </w:r>
      <w:r w:rsidR="00043383">
        <w:t xml:space="preserve">Plan </w:t>
      </w:r>
    </w:p>
    <w:p w14:paraId="617B8E90" w14:textId="281F257F" w:rsidR="006B11CC" w:rsidRPr="00820BD4" w:rsidRDefault="00820BD4" w:rsidP="00820BD4">
      <w:pPr>
        <w:spacing w:line="360" w:lineRule="auto"/>
        <w:rPr>
          <w:color w:val="0000FF"/>
          <w:sz w:val="24"/>
        </w:rPr>
      </w:pPr>
      <w:r>
        <w:rPr>
          <w:color w:val="0000FF"/>
          <w:sz w:val="24"/>
        </w:rPr>
        <w:t>[</w:t>
      </w:r>
      <w:proofErr w:type="gramStart"/>
      <w:r>
        <w:rPr>
          <w:color w:val="0000FF"/>
          <w:sz w:val="24"/>
        </w:rPr>
        <w:t>e.g.</w:t>
      </w:r>
      <w:proofErr w:type="gramEnd"/>
      <w:r>
        <w:rPr>
          <w:color w:val="0000FF"/>
          <w:sz w:val="24"/>
        </w:rPr>
        <w:t xml:space="preserve"> reduce </w:t>
      </w:r>
      <w:r w:rsidR="00FD07C4">
        <w:rPr>
          <w:color w:val="0000FF"/>
          <w:sz w:val="24"/>
        </w:rPr>
        <w:t xml:space="preserve">quantity of cylinders </w:t>
      </w:r>
      <w:r>
        <w:rPr>
          <w:color w:val="0000FF"/>
          <w:sz w:val="24"/>
        </w:rPr>
        <w:t>order</w:t>
      </w:r>
      <w:r w:rsidR="00FD07C4">
        <w:rPr>
          <w:color w:val="0000FF"/>
          <w:sz w:val="24"/>
        </w:rPr>
        <w:t>ed</w:t>
      </w:r>
      <w:r>
        <w:rPr>
          <w:color w:val="0000FF"/>
          <w:sz w:val="24"/>
        </w:rPr>
        <w:t xml:space="preserve">, improve </w:t>
      </w:r>
      <w:r w:rsidR="00F313F5">
        <w:rPr>
          <w:color w:val="0000FF"/>
          <w:sz w:val="24"/>
        </w:rPr>
        <w:t>stock rotation</w:t>
      </w:r>
      <w:r w:rsidR="00272349">
        <w:rPr>
          <w:color w:val="0000FF"/>
          <w:sz w:val="24"/>
        </w:rPr>
        <w:t xml:space="preserve">, ensure relevant staff are aware of stock </w:t>
      </w:r>
      <w:r w:rsidR="00C80BCD">
        <w:rPr>
          <w:color w:val="0000FF"/>
          <w:sz w:val="24"/>
        </w:rPr>
        <w:t>control system</w:t>
      </w:r>
      <w:r w:rsidR="00F72D72">
        <w:rPr>
          <w:color w:val="0000FF"/>
          <w:sz w:val="24"/>
        </w:rPr>
        <w:t>.</w:t>
      </w:r>
      <w:r w:rsidR="00BA7374">
        <w:rPr>
          <w:color w:val="0000FF"/>
          <w:sz w:val="24"/>
        </w:rPr>
        <w:t>]</w:t>
      </w:r>
    </w:p>
    <w:p w14:paraId="5DC53067" w14:textId="77777777" w:rsidR="00EA3CDA" w:rsidRPr="002536C1" w:rsidRDefault="00EA3CDA" w:rsidP="00B368E8">
      <w:pPr>
        <w:rPr>
          <w:sz w:val="24"/>
        </w:rPr>
      </w:pPr>
    </w:p>
    <w:sectPr w:rsidR="00EA3CDA" w:rsidRPr="002536C1" w:rsidSect="00D748E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709" w:right="1361" w:bottom="1276" w:left="1361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1BA1" w14:textId="77777777" w:rsidR="00B91976" w:rsidRDefault="00B91976">
      <w:r>
        <w:separator/>
      </w:r>
    </w:p>
  </w:endnote>
  <w:endnote w:type="continuationSeparator" w:id="0">
    <w:p w14:paraId="6573F315" w14:textId="77777777" w:rsidR="00B91976" w:rsidRDefault="00B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A245" w14:textId="77777777" w:rsidR="009611A3" w:rsidRDefault="009611A3" w:rsidP="0036722D">
    <w:pPr>
      <w:pStyle w:val="Footer"/>
      <w:jc w:val="right"/>
      <w:rPr>
        <w:rFonts w:cs="Tahoma"/>
        <w:sz w:val="24"/>
      </w:rPr>
    </w:pPr>
  </w:p>
  <w:p w14:paraId="2A69B416" w14:textId="6026297A" w:rsidR="002108FD" w:rsidRPr="00F92566" w:rsidRDefault="0036722D" w:rsidP="0074348F">
    <w:pPr>
      <w:pStyle w:val="Footer"/>
      <w:spacing w:after="120"/>
      <w:jc w:val="right"/>
      <w:rPr>
        <w:rFonts w:cs="Tahoma"/>
        <w:sz w:val="24"/>
      </w:rPr>
    </w:pPr>
    <w:r w:rsidRPr="00F92566">
      <w:rPr>
        <w:rFonts w:cs="Tahoma"/>
        <w:sz w:val="24"/>
      </w:rPr>
      <w:t>SDCEP Practice Support Manual template (</w:t>
    </w:r>
    <w:r w:rsidR="002C721D">
      <w:rPr>
        <w:rFonts w:cs="Tahoma"/>
        <w:sz w:val="24"/>
      </w:rPr>
      <w:t>May</w:t>
    </w:r>
    <w:r w:rsidR="003206C9" w:rsidRPr="00F92566">
      <w:rPr>
        <w:rFonts w:cs="Tahoma"/>
        <w:sz w:val="24"/>
      </w:rPr>
      <w:t xml:space="preserve"> </w:t>
    </w:r>
    <w:r w:rsidR="000C2C12" w:rsidRPr="00F92566">
      <w:rPr>
        <w:rFonts w:cs="Tahoma"/>
        <w:sz w:val="24"/>
      </w:rPr>
      <w:t>202</w:t>
    </w:r>
    <w:r w:rsidR="000C2C12">
      <w:rPr>
        <w:rFonts w:cs="Tahoma"/>
        <w:sz w:val="24"/>
      </w:rPr>
      <w:t>4</w:t>
    </w:r>
    <w:r w:rsidRPr="00F92566">
      <w:rPr>
        <w:rFonts w:cs="Tahoma"/>
        <w:sz w:val="24"/>
      </w:rPr>
      <w:t>)</w:t>
    </w:r>
  </w:p>
  <w:p w14:paraId="2A69B417" w14:textId="77777777" w:rsidR="002108FD" w:rsidRPr="00F92566" w:rsidRDefault="002108FD" w:rsidP="006A029E">
    <w:pPr>
      <w:pStyle w:val="Footer"/>
      <w:jc w:val="center"/>
      <w:rPr>
        <w:rFonts w:cs="Tahoma"/>
        <w:sz w:val="24"/>
      </w:rPr>
    </w:pPr>
    <w:r w:rsidRPr="00F92566">
      <w:rPr>
        <w:rFonts w:cs="Tahoma"/>
        <w:sz w:val="24"/>
      </w:rPr>
      <w:t xml:space="preserve">Page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PAGE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1</w:t>
    </w:r>
    <w:r w:rsidR="003E5ABF" w:rsidRPr="00F92566">
      <w:rPr>
        <w:rFonts w:cs="Tahoma"/>
        <w:sz w:val="24"/>
      </w:rPr>
      <w:fldChar w:fldCharType="end"/>
    </w:r>
    <w:r w:rsidRPr="00F92566">
      <w:rPr>
        <w:rFonts w:cs="Tahoma"/>
        <w:sz w:val="24"/>
      </w:rPr>
      <w:t xml:space="preserve"> of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NUMPAGES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2</w:t>
    </w:r>
    <w:r w:rsidR="003E5ABF" w:rsidRPr="00F92566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BF7F" w14:textId="2785DAA2" w:rsidR="00FA5784" w:rsidRPr="00F84329" w:rsidRDefault="00FA5784" w:rsidP="0069276A">
    <w:pPr>
      <w:pStyle w:val="Footer"/>
      <w:spacing w:before="120" w:after="120"/>
      <w:jc w:val="right"/>
      <w:rPr>
        <w:rFonts w:cs="Tahoma"/>
        <w:sz w:val="24"/>
      </w:rPr>
    </w:pPr>
    <w:r w:rsidRPr="00F84329">
      <w:rPr>
        <w:rFonts w:cs="Tahoma"/>
        <w:sz w:val="24"/>
      </w:rPr>
      <w:t>SDCEP Practice Support Manual template (</w:t>
    </w:r>
    <w:r w:rsidR="002C721D">
      <w:rPr>
        <w:rFonts w:cs="Tahoma"/>
        <w:sz w:val="24"/>
      </w:rPr>
      <w:t>May</w:t>
    </w:r>
    <w:r w:rsidR="003206C9" w:rsidRPr="00F84329">
      <w:rPr>
        <w:rFonts w:cs="Tahoma"/>
        <w:sz w:val="24"/>
      </w:rPr>
      <w:t xml:space="preserve"> </w:t>
    </w:r>
    <w:r w:rsidR="00D528AF" w:rsidRPr="00F84329">
      <w:rPr>
        <w:rFonts w:cs="Tahoma"/>
        <w:sz w:val="24"/>
      </w:rPr>
      <w:t>202</w:t>
    </w:r>
    <w:r w:rsidR="00D528AF">
      <w:rPr>
        <w:rFonts w:cs="Tahoma"/>
        <w:sz w:val="24"/>
      </w:rPr>
      <w:t>4</w:t>
    </w:r>
    <w:r w:rsidRPr="00F84329">
      <w:rPr>
        <w:rFonts w:cs="Tahoma"/>
        <w:sz w:val="24"/>
      </w:rPr>
      <w:t>)</w:t>
    </w:r>
  </w:p>
  <w:p w14:paraId="23711CFC" w14:textId="38A3D8E5" w:rsidR="00FA5784" w:rsidRPr="00F531AA" w:rsidRDefault="00FA5784" w:rsidP="00F531AA">
    <w:pPr>
      <w:pStyle w:val="Footer"/>
      <w:jc w:val="center"/>
      <w:rPr>
        <w:rFonts w:cs="Tahoma"/>
        <w:sz w:val="24"/>
      </w:rPr>
    </w:pPr>
    <w:r w:rsidRPr="00F84329">
      <w:rPr>
        <w:rFonts w:cs="Tahoma"/>
        <w:sz w:val="24"/>
      </w:rPr>
      <w:t xml:space="preserve">Page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PAGE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  <w:r w:rsidRPr="00F84329">
      <w:rPr>
        <w:rFonts w:cs="Tahoma"/>
        <w:sz w:val="24"/>
      </w:rPr>
      <w:t xml:space="preserve"> of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NUMPAGES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E771" w14:textId="77777777" w:rsidR="00B91976" w:rsidRDefault="00B91976">
      <w:r>
        <w:separator/>
      </w:r>
    </w:p>
  </w:footnote>
  <w:footnote w:type="continuationSeparator" w:id="0">
    <w:p w14:paraId="73F256B3" w14:textId="77777777" w:rsidR="00B91976" w:rsidRDefault="00B9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F29E" w14:textId="1857F55D" w:rsidR="00DA5FE0" w:rsidRDefault="00DA5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EE0" w14:textId="016CB4F9" w:rsidR="00D3222A" w:rsidRPr="00F92566" w:rsidRDefault="009715AF" w:rsidP="00D3222A">
    <w:pPr>
      <w:pStyle w:val="Heading1"/>
      <w:shd w:val="clear" w:color="auto" w:fill="auto"/>
      <w:rPr>
        <w:b w:val="0"/>
        <w:bCs w:val="0"/>
        <w:sz w:val="24"/>
        <w:szCs w:val="24"/>
      </w:rPr>
    </w:pPr>
    <w:r>
      <w:rPr>
        <w:b w:val="0"/>
        <w:bCs w:val="0"/>
        <w:sz w:val="24"/>
        <w:szCs w:val="24"/>
      </w:rPr>
      <w:t>Nitrous Oxide Stock Record</w:t>
    </w:r>
  </w:p>
  <w:p w14:paraId="2A69B415" w14:textId="531D3508" w:rsidR="002108FD" w:rsidRPr="00F92566" w:rsidRDefault="002108FD" w:rsidP="00F92566">
    <w:pPr>
      <w:pStyle w:val="Header"/>
      <w:tabs>
        <w:tab w:val="clear" w:pos="8640"/>
        <w:tab w:val="right" w:pos="8647"/>
      </w:tabs>
      <w:rPr>
        <w:iCs/>
        <w:color w:val="0000FF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EBE" w14:textId="28EC9D36" w:rsidR="003408CD" w:rsidRDefault="00340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448C2638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299"/>
    <w:multiLevelType w:val="hybridMultilevel"/>
    <w:tmpl w:val="97FC35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5F21"/>
    <w:multiLevelType w:val="hybridMultilevel"/>
    <w:tmpl w:val="739CB39E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A07DA"/>
    <w:multiLevelType w:val="hybridMultilevel"/>
    <w:tmpl w:val="F1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48280">
    <w:abstractNumId w:val="2"/>
  </w:num>
  <w:num w:numId="2" w16cid:durableId="851458408">
    <w:abstractNumId w:val="0"/>
  </w:num>
  <w:num w:numId="3" w16cid:durableId="1952086939">
    <w:abstractNumId w:val="1"/>
  </w:num>
  <w:num w:numId="4" w16cid:durableId="210425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9"/>
    <w:rsid w:val="0000296B"/>
    <w:rsid w:val="00004FD0"/>
    <w:rsid w:val="0002458A"/>
    <w:rsid w:val="00030C4F"/>
    <w:rsid w:val="0003752F"/>
    <w:rsid w:val="000408A0"/>
    <w:rsid w:val="00042AD9"/>
    <w:rsid w:val="00042B02"/>
    <w:rsid w:val="00042C79"/>
    <w:rsid w:val="00043383"/>
    <w:rsid w:val="000437AB"/>
    <w:rsid w:val="00056B48"/>
    <w:rsid w:val="00057FBA"/>
    <w:rsid w:val="00061B39"/>
    <w:rsid w:val="00066669"/>
    <w:rsid w:val="00070D23"/>
    <w:rsid w:val="000915BD"/>
    <w:rsid w:val="0009766E"/>
    <w:rsid w:val="000B0719"/>
    <w:rsid w:val="000B3AF9"/>
    <w:rsid w:val="000C2C12"/>
    <w:rsid w:val="000D286F"/>
    <w:rsid w:val="000D614C"/>
    <w:rsid w:val="000E24E9"/>
    <w:rsid w:val="000E2EC2"/>
    <w:rsid w:val="000E5951"/>
    <w:rsid w:val="000F0EAC"/>
    <w:rsid w:val="001019DB"/>
    <w:rsid w:val="0010599B"/>
    <w:rsid w:val="00110265"/>
    <w:rsid w:val="00114F46"/>
    <w:rsid w:val="001253A9"/>
    <w:rsid w:val="0013176F"/>
    <w:rsid w:val="001353F9"/>
    <w:rsid w:val="001370B9"/>
    <w:rsid w:val="001375E5"/>
    <w:rsid w:val="001401A0"/>
    <w:rsid w:val="00166EB5"/>
    <w:rsid w:val="00177C92"/>
    <w:rsid w:val="00182887"/>
    <w:rsid w:val="001958E8"/>
    <w:rsid w:val="001A5406"/>
    <w:rsid w:val="001B2349"/>
    <w:rsid w:val="001B2BFD"/>
    <w:rsid w:val="001B373A"/>
    <w:rsid w:val="001C1E3D"/>
    <w:rsid w:val="001C2504"/>
    <w:rsid w:val="001C4F14"/>
    <w:rsid w:val="001D2849"/>
    <w:rsid w:val="001D2F97"/>
    <w:rsid w:val="001D4672"/>
    <w:rsid w:val="001E5C89"/>
    <w:rsid w:val="001E5FF8"/>
    <w:rsid w:val="001F3E16"/>
    <w:rsid w:val="001F413B"/>
    <w:rsid w:val="001F4430"/>
    <w:rsid w:val="00200456"/>
    <w:rsid w:val="00210710"/>
    <w:rsid w:val="002108FD"/>
    <w:rsid w:val="00212B2A"/>
    <w:rsid w:val="00217A1F"/>
    <w:rsid w:val="002233AA"/>
    <w:rsid w:val="00223CF4"/>
    <w:rsid w:val="0023733E"/>
    <w:rsid w:val="00242AC1"/>
    <w:rsid w:val="002437A2"/>
    <w:rsid w:val="0025058C"/>
    <w:rsid w:val="00250C40"/>
    <w:rsid w:val="002536C1"/>
    <w:rsid w:val="00254643"/>
    <w:rsid w:val="0025529C"/>
    <w:rsid w:val="002556A5"/>
    <w:rsid w:val="002674CB"/>
    <w:rsid w:val="00272349"/>
    <w:rsid w:val="00272F4D"/>
    <w:rsid w:val="00280440"/>
    <w:rsid w:val="00284EAC"/>
    <w:rsid w:val="002852B2"/>
    <w:rsid w:val="00290AEE"/>
    <w:rsid w:val="0029179B"/>
    <w:rsid w:val="002958BA"/>
    <w:rsid w:val="002A4657"/>
    <w:rsid w:val="002A6016"/>
    <w:rsid w:val="002B2FBD"/>
    <w:rsid w:val="002C4D92"/>
    <w:rsid w:val="002C721D"/>
    <w:rsid w:val="002D6D38"/>
    <w:rsid w:val="002F694C"/>
    <w:rsid w:val="00317A76"/>
    <w:rsid w:val="003206C9"/>
    <w:rsid w:val="00323792"/>
    <w:rsid w:val="00325C04"/>
    <w:rsid w:val="003408CD"/>
    <w:rsid w:val="00362905"/>
    <w:rsid w:val="0036722D"/>
    <w:rsid w:val="003723B9"/>
    <w:rsid w:val="00373EB1"/>
    <w:rsid w:val="00380192"/>
    <w:rsid w:val="00386D07"/>
    <w:rsid w:val="0038787A"/>
    <w:rsid w:val="003913D9"/>
    <w:rsid w:val="00391F20"/>
    <w:rsid w:val="003A71EF"/>
    <w:rsid w:val="003B3AA2"/>
    <w:rsid w:val="003B3C96"/>
    <w:rsid w:val="003B4DB4"/>
    <w:rsid w:val="003D613E"/>
    <w:rsid w:val="003D78D5"/>
    <w:rsid w:val="003E2D97"/>
    <w:rsid w:val="003E5ABF"/>
    <w:rsid w:val="003E6975"/>
    <w:rsid w:val="003F0911"/>
    <w:rsid w:val="00400D74"/>
    <w:rsid w:val="00403CBB"/>
    <w:rsid w:val="004179DE"/>
    <w:rsid w:val="00430B29"/>
    <w:rsid w:val="004362DA"/>
    <w:rsid w:val="00442151"/>
    <w:rsid w:val="00444D07"/>
    <w:rsid w:val="0045668B"/>
    <w:rsid w:val="00466209"/>
    <w:rsid w:val="00470BA5"/>
    <w:rsid w:val="0047227E"/>
    <w:rsid w:val="004727F0"/>
    <w:rsid w:val="00475ECC"/>
    <w:rsid w:val="00482A71"/>
    <w:rsid w:val="00484A73"/>
    <w:rsid w:val="0049686B"/>
    <w:rsid w:val="00496FB9"/>
    <w:rsid w:val="004A0201"/>
    <w:rsid w:val="004A5B67"/>
    <w:rsid w:val="004B26F2"/>
    <w:rsid w:val="004B46BE"/>
    <w:rsid w:val="004B69CA"/>
    <w:rsid w:val="004C0E72"/>
    <w:rsid w:val="004C0EF1"/>
    <w:rsid w:val="004C7B6A"/>
    <w:rsid w:val="004D44B5"/>
    <w:rsid w:val="004E3B02"/>
    <w:rsid w:val="00500F27"/>
    <w:rsid w:val="00501399"/>
    <w:rsid w:val="00520C35"/>
    <w:rsid w:val="00546558"/>
    <w:rsid w:val="00550727"/>
    <w:rsid w:val="00560710"/>
    <w:rsid w:val="00563B3A"/>
    <w:rsid w:val="0057278F"/>
    <w:rsid w:val="00575A6C"/>
    <w:rsid w:val="005A4A7D"/>
    <w:rsid w:val="005A79CC"/>
    <w:rsid w:val="005B0215"/>
    <w:rsid w:val="005C4DE6"/>
    <w:rsid w:val="006005F3"/>
    <w:rsid w:val="00601ACC"/>
    <w:rsid w:val="006027A1"/>
    <w:rsid w:val="00602C1F"/>
    <w:rsid w:val="00623081"/>
    <w:rsid w:val="00625D20"/>
    <w:rsid w:val="00631141"/>
    <w:rsid w:val="006413BD"/>
    <w:rsid w:val="00645AEE"/>
    <w:rsid w:val="00664EF5"/>
    <w:rsid w:val="00672863"/>
    <w:rsid w:val="00683520"/>
    <w:rsid w:val="0069000D"/>
    <w:rsid w:val="0069276A"/>
    <w:rsid w:val="00694027"/>
    <w:rsid w:val="0069436C"/>
    <w:rsid w:val="006A029E"/>
    <w:rsid w:val="006B11CC"/>
    <w:rsid w:val="006C5396"/>
    <w:rsid w:val="006D22B5"/>
    <w:rsid w:val="006D707C"/>
    <w:rsid w:val="006F3835"/>
    <w:rsid w:val="00702A16"/>
    <w:rsid w:val="00703063"/>
    <w:rsid w:val="00707CB8"/>
    <w:rsid w:val="00714889"/>
    <w:rsid w:val="007177AA"/>
    <w:rsid w:val="00724C87"/>
    <w:rsid w:val="007347F8"/>
    <w:rsid w:val="00737862"/>
    <w:rsid w:val="0074348F"/>
    <w:rsid w:val="00745B7A"/>
    <w:rsid w:val="007464D3"/>
    <w:rsid w:val="007537B8"/>
    <w:rsid w:val="00763922"/>
    <w:rsid w:val="00766C6E"/>
    <w:rsid w:val="00770CA3"/>
    <w:rsid w:val="00775B7A"/>
    <w:rsid w:val="00780B7D"/>
    <w:rsid w:val="0078628D"/>
    <w:rsid w:val="0079104C"/>
    <w:rsid w:val="007956AB"/>
    <w:rsid w:val="00796A69"/>
    <w:rsid w:val="007977C8"/>
    <w:rsid w:val="007A157E"/>
    <w:rsid w:val="007A27B8"/>
    <w:rsid w:val="007A6BE3"/>
    <w:rsid w:val="007B631E"/>
    <w:rsid w:val="007B7201"/>
    <w:rsid w:val="007C47A3"/>
    <w:rsid w:val="007D4EDB"/>
    <w:rsid w:val="007D6F7E"/>
    <w:rsid w:val="007E072B"/>
    <w:rsid w:val="007E3E13"/>
    <w:rsid w:val="007E6397"/>
    <w:rsid w:val="007F27B3"/>
    <w:rsid w:val="007F387F"/>
    <w:rsid w:val="007F5FC1"/>
    <w:rsid w:val="008031FD"/>
    <w:rsid w:val="00813C08"/>
    <w:rsid w:val="00820BD4"/>
    <w:rsid w:val="00823B5A"/>
    <w:rsid w:val="008251B3"/>
    <w:rsid w:val="0083677C"/>
    <w:rsid w:val="008367A9"/>
    <w:rsid w:val="00837D31"/>
    <w:rsid w:val="00837DF5"/>
    <w:rsid w:val="00840C3F"/>
    <w:rsid w:val="008675D6"/>
    <w:rsid w:val="00871747"/>
    <w:rsid w:val="008732AC"/>
    <w:rsid w:val="00892C67"/>
    <w:rsid w:val="008A591A"/>
    <w:rsid w:val="008B0CD9"/>
    <w:rsid w:val="008D4517"/>
    <w:rsid w:val="008D6D9B"/>
    <w:rsid w:val="008E46BE"/>
    <w:rsid w:val="008F3568"/>
    <w:rsid w:val="00900B4C"/>
    <w:rsid w:val="0091001A"/>
    <w:rsid w:val="009162AC"/>
    <w:rsid w:val="0092213F"/>
    <w:rsid w:val="00925A2A"/>
    <w:rsid w:val="00932AD4"/>
    <w:rsid w:val="00933E5D"/>
    <w:rsid w:val="0093528F"/>
    <w:rsid w:val="009452E2"/>
    <w:rsid w:val="009611A3"/>
    <w:rsid w:val="00965A59"/>
    <w:rsid w:val="009715AF"/>
    <w:rsid w:val="00974CF6"/>
    <w:rsid w:val="0098564A"/>
    <w:rsid w:val="00991577"/>
    <w:rsid w:val="00995220"/>
    <w:rsid w:val="009A3269"/>
    <w:rsid w:val="009B034A"/>
    <w:rsid w:val="009B40F3"/>
    <w:rsid w:val="009B71E9"/>
    <w:rsid w:val="009D6CB8"/>
    <w:rsid w:val="009F5C43"/>
    <w:rsid w:val="00A140D2"/>
    <w:rsid w:val="00A16855"/>
    <w:rsid w:val="00A16D11"/>
    <w:rsid w:val="00A201AB"/>
    <w:rsid w:val="00A321DB"/>
    <w:rsid w:val="00A323E1"/>
    <w:rsid w:val="00A4441F"/>
    <w:rsid w:val="00A47D1C"/>
    <w:rsid w:val="00A546B5"/>
    <w:rsid w:val="00A56F3B"/>
    <w:rsid w:val="00A655FE"/>
    <w:rsid w:val="00A7592B"/>
    <w:rsid w:val="00A801E5"/>
    <w:rsid w:val="00A82786"/>
    <w:rsid w:val="00A83D40"/>
    <w:rsid w:val="00A91E59"/>
    <w:rsid w:val="00A91F6F"/>
    <w:rsid w:val="00A94660"/>
    <w:rsid w:val="00AA0F61"/>
    <w:rsid w:val="00AC2EB8"/>
    <w:rsid w:val="00AC3D4B"/>
    <w:rsid w:val="00AD1164"/>
    <w:rsid w:val="00AD1C67"/>
    <w:rsid w:val="00AD773D"/>
    <w:rsid w:val="00AE0DA9"/>
    <w:rsid w:val="00AE1908"/>
    <w:rsid w:val="00AE275A"/>
    <w:rsid w:val="00AF2F14"/>
    <w:rsid w:val="00AF493C"/>
    <w:rsid w:val="00B02B87"/>
    <w:rsid w:val="00B04AB6"/>
    <w:rsid w:val="00B06CAB"/>
    <w:rsid w:val="00B07401"/>
    <w:rsid w:val="00B221AD"/>
    <w:rsid w:val="00B25981"/>
    <w:rsid w:val="00B26E16"/>
    <w:rsid w:val="00B368E8"/>
    <w:rsid w:val="00B42EBC"/>
    <w:rsid w:val="00B5052E"/>
    <w:rsid w:val="00B50B05"/>
    <w:rsid w:val="00B54E96"/>
    <w:rsid w:val="00B75B98"/>
    <w:rsid w:val="00B84E0F"/>
    <w:rsid w:val="00B91976"/>
    <w:rsid w:val="00B945E4"/>
    <w:rsid w:val="00BA054A"/>
    <w:rsid w:val="00BA5457"/>
    <w:rsid w:val="00BA5E35"/>
    <w:rsid w:val="00BA7374"/>
    <w:rsid w:val="00BB17E4"/>
    <w:rsid w:val="00BC6B7B"/>
    <w:rsid w:val="00BC748E"/>
    <w:rsid w:val="00BD0D2B"/>
    <w:rsid w:val="00BD285D"/>
    <w:rsid w:val="00BE3986"/>
    <w:rsid w:val="00BF01CB"/>
    <w:rsid w:val="00BF444D"/>
    <w:rsid w:val="00BF6919"/>
    <w:rsid w:val="00C05205"/>
    <w:rsid w:val="00C11247"/>
    <w:rsid w:val="00C15BEC"/>
    <w:rsid w:val="00C2598C"/>
    <w:rsid w:val="00C300B4"/>
    <w:rsid w:val="00C34A4D"/>
    <w:rsid w:val="00C402E9"/>
    <w:rsid w:val="00C443E7"/>
    <w:rsid w:val="00C479AA"/>
    <w:rsid w:val="00C62D26"/>
    <w:rsid w:val="00C80419"/>
    <w:rsid w:val="00C80BCD"/>
    <w:rsid w:val="00C96687"/>
    <w:rsid w:val="00CA77F7"/>
    <w:rsid w:val="00CB3374"/>
    <w:rsid w:val="00CB6274"/>
    <w:rsid w:val="00CC150C"/>
    <w:rsid w:val="00CC1E13"/>
    <w:rsid w:val="00CE0A30"/>
    <w:rsid w:val="00CE3015"/>
    <w:rsid w:val="00CF3D0E"/>
    <w:rsid w:val="00CF4C43"/>
    <w:rsid w:val="00CF7C88"/>
    <w:rsid w:val="00D126CE"/>
    <w:rsid w:val="00D15C38"/>
    <w:rsid w:val="00D20C38"/>
    <w:rsid w:val="00D22C7E"/>
    <w:rsid w:val="00D3222A"/>
    <w:rsid w:val="00D3303D"/>
    <w:rsid w:val="00D33795"/>
    <w:rsid w:val="00D40D8D"/>
    <w:rsid w:val="00D436B6"/>
    <w:rsid w:val="00D44A08"/>
    <w:rsid w:val="00D528AF"/>
    <w:rsid w:val="00D53ACA"/>
    <w:rsid w:val="00D61290"/>
    <w:rsid w:val="00D62FB2"/>
    <w:rsid w:val="00D748E2"/>
    <w:rsid w:val="00D8021E"/>
    <w:rsid w:val="00D8113D"/>
    <w:rsid w:val="00D83272"/>
    <w:rsid w:val="00D83D88"/>
    <w:rsid w:val="00D93A69"/>
    <w:rsid w:val="00DA5FE0"/>
    <w:rsid w:val="00DB18D2"/>
    <w:rsid w:val="00DB64FC"/>
    <w:rsid w:val="00DB771F"/>
    <w:rsid w:val="00DE76E5"/>
    <w:rsid w:val="00DF43C3"/>
    <w:rsid w:val="00E20279"/>
    <w:rsid w:val="00E235ED"/>
    <w:rsid w:val="00E24606"/>
    <w:rsid w:val="00E258E9"/>
    <w:rsid w:val="00E277FE"/>
    <w:rsid w:val="00E51B66"/>
    <w:rsid w:val="00E55EEE"/>
    <w:rsid w:val="00E71B39"/>
    <w:rsid w:val="00E7783B"/>
    <w:rsid w:val="00E87925"/>
    <w:rsid w:val="00E92C4E"/>
    <w:rsid w:val="00EA3CDA"/>
    <w:rsid w:val="00EB0362"/>
    <w:rsid w:val="00EB0B3A"/>
    <w:rsid w:val="00EB1AC5"/>
    <w:rsid w:val="00EB73C0"/>
    <w:rsid w:val="00EC0C01"/>
    <w:rsid w:val="00ED0144"/>
    <w:rsid w:val="00ED0CEC"/>
    <w:rsid w:val="00ED4FE8"/>
    <w:rsid w:val="00EE3686"/>
    <w:rsid w:val="00EE6984"/>
    <w:rsid w:val="00EF08D9"/>
    <w:rsid w:val="00EF181F"/>
    <w:rsid w:val="00EF3685"/>
    <w:rsid w:val="00F01B28"/>
    <w:rsid w:val="00F041E9"/>
    <w:rsid w:val="00F144E8"/>
    <w:rsid w:val="00F1624B"/>
    <w:rsid w:val="00F25F6B"/>
    <w:rsid w:val="00F279DD"/>
    <w:rsid w:val="00F313F5"/>
    <w:rsid w:val="00F31636"/>
    <w:rsid w:val="00F531AA"/>
    <w:rsid w:val="00F65569"/>
    <w:rsid w:val="00F72D72"/>
    <w:rsid w:val="00F85454"/>
    <w:rsid w:val="00F85884"/>
    <w:rsid w:val="00F92566"/>
    <w:rsid w:val="00F96EA6"/>
    <w:rsid w:val="00FA5784"/>
    <w:rsid w:val="00FA7F9F"/>
    <w:rsid w:val="00FC1262"/>
    <w:rsid w:val="00FC506A"/>
    <w:rsid w:val="00FC6D0D"/>
    <w:rsid w:val="00FD07C4"/>
    <w:rsid w:val="00FD08C2"/>
    <w:rsid w:val="00FD0F76"/>
    <w:rsid w:val="00FE23E7"/>
    <w:rsid w:val="00FF33F5"/>
    <w:rsid w:val="2BD8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9B37B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22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722D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443E7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36722D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2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96B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00296B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00296B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link w:val="InstructionbulletChar"/>
    <w:rsid w:val="0000296B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00296B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00296B"/>
    <w:pPr>
      <w:spacing w:before="240"/>
      <w:jc w:val="left"/>
    </w:pPr>
    <w:rPr>
      <w:b/>
    </w:rPr>
  </w:style>
  <w:style w:type="character" w:styleId="Hyperlink">
    <w:name w:val="Hyperlink"/>
    <w:basedOn w:val="DefaultParagraphFont"/>
    <w:rsid w:val="00470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70B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96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FB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08A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ahoma" w:hAnsi="Tahom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E16"/>
    <w:rPr>
      <w:rFonts w:ascii="Tahoma" w:hAnsi="Tahoma"/>
      <w:b/>
      <w:bCs/>
      <w:lang w:eastAsia="en-US"/>
    </w:rPr>
  </w:style>
  <w:style w:type="table" w:styleId="TableGrid">
    <w:name w:val="Table Grid"/>
    <w:basedOn w:val="TableNormal"/>
    <w:rsid w:val="00F3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0BCD"/>
    <w:rPr>
      <w:rFonts w:ascii="Tahoma" w:hAnsi="Tahoma"/>
      <w:sz w:val="22"/>
      <w:szCs w:val="24"/>
      <w:lang w:eastAsia="en-US"/>
    </w:rPr>
  </w:style>
  <w:style w:type="character" w:customStyle="1" w:styleId="InstructionbulletChar">
    <w:name w:val="Instruction bullet Char"/>
    <w:link w:val="Instructionbullet"/>
    <w:rsid w:val="00D15C38"/>
    <w:rPr>
      <w:rFonts w:ascii="Tahoma" w:hAnsi="Tahoma" w:cs="Tahoma"/>
      <w:color w:val="0000F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s.nhs.scot/publications/medical-gas-pipeline-systems-shtm-02-0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sm.sdcep.org.uk/templates/about-templat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sm.sdcep.org.uk/templates/about-templat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4" ma:contentTypeDescription="Create a new document." ma:contentTypeScope="" ma:versionID="55e29fb3ed81a8a27b35272eef99d4d4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64410a6ed515c1e02bb8a41a56c9565d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631B-20C0-4114-8F57-051BB8046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4A3F8-EF1C-46DC-91FE-D8641C1C4210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9D5FAF16-D4B4-48E2-90F3-728C29B1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2308</Characters>
  <Application>Microsoft Office Word</Application>
  <DocSecurity>0</DocSecurity>
  <Lines>19</Lines>
  <Paragraphs>5</Paragraphs>
  <ScaleCrop>false</ScaleCrop>
  <Company>Handbook Support Services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Michele West</cp:lastModifiedBy>
  <cp:revision>5</cp:revision>
  <cp:lastPrinted>2012-06-13T10:35:00Z</cp:lastPrinted>
  <dcterms:created xsi:type="dcterms:W3CDTF">2024-05-29T15:46:00Z</dcterms:created>
  <dcterms:modified xsi:type="dcterms:W3CDTF">2024-06-11T13:29:00Z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2015-05-05T13:47:33Z</vt:filetime>
  </property>
  <property fmtid="{D5CDD505-2E9C-101B-9397-08002B2CF9AE}" pid="4" name="Modifier">
    <vt:lpwstr>PatriciaG</vt:lpwstr>
  </property>
  <property fmtid="{D5CDD505-2E9C-101B-9397-08002B2CF9AE}" pid="5" name="Size">
    <vt:r8>18146</vt:r8>
  </property>
  <property fmtid="{D5CDD505-2E9C-101B-9397-08002B2CF9AE}" pid="6" name="Created Date1">
    <vt:filetime>2015-05-05T13:47:33Z</vt:filetime>
  </property>
  <property fmtid="{D5CDD505-2E9C-101B-9397-08002B2CF9AE}" pid="7" name="Order">
    <vt:r8>43890200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